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207010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880" w:right="1620" w:hanging="3859"/>
        <w:spacing w:after="0" w:line="361"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3" w:lineRule="exact"/>
        <w:rPr>
          <w:sz w:val="24"/>
          <w:szCs w:val="24"/>
          <w:color w:val="auto"/>
        </w:rPr>
      </w:pPr>
    </w:p>
    <w:p>
      <w:pPr>
        <w:ind w:left="4340" w:right="1620" w:hanging="4319"/>
        <w:spacing w:after="0" w:line="375" w:lineRule="auto"/>
        <w:tabs>
          <w:tab w:leader="none" w:pos="47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p>
      <w:pPr>
        <w:spacing w:after="0" w:line="200" w:lineRule="exact"/>
        <w:rPr>
          <w:sz w:val="24"/>
          <w:szCs w:val="24"/>
          <w:color w:val="auto"/>
        </w:rPr>
      </w:pPr>
    </w:p>
    <w:p>
      <w:pPr>
        <w:spacing w:after="0" w:line="28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0"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45-3937349</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 w:lineRule="exact"/>
        <w:rPr>
          <w:sz w:val="24"/>
          <w:szCs w:val="24"/>
          <w:color w:val="auto"/>
        </w:rPr>
      </w:pPr>
    </w:p>
    <w:p>
      <w:pPr>
        <w:sectPr>
          <w:pgSz w:w="11900" w:h="16838" w:orient="portrait"/>
          <w:cols w:equalWidth="0" w:num="2">
            <w:col w:w="7220" w:space="720"/>
            <w:col w:w="3300"/>
          </w:cols>
          <w:pgMar w:left="320" w:top="672"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8"/>
          <w:szCs w:val="18"/>
          <w:b w:val="1"/>
          <w:bCs w:val="1"/>
          <w:color w:val="auto"/>
        </w:rPr>
        <w:t>201 Third Street, Suite 200</w:t>
      </w:r>
    </w:p>
    <w:p>
      <w:pPr>
        <w:spacing w:after="0" w:line="19" w:lineRule="exact"/>
        <w:rPr>
          <w:sz w:val="24"/>
          <w:szCs w:val="24"/>
          <w:color w:val="auto"/>
        </w:rPr>
      </w:pPr>
    </w:p>
    <w:p>
      <w:pPr>
        <w:ind w:left="18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San Francisco, California</w:t>
      </w:r>
      <w:r>
        <w:rPr>
          <w:sz w:val="20"/>
          <w:szCs w:val="20"/>
          <w:color w:val="auto"/>
        </w:rPr>
        <w:tab/>
      </w:r>
      <w:r>
        <w:rPr>
          <w:rFonts w:ascii="Times New Roman" w:cs="Times New Roman" w:eastAsia="Times New Roman" w:hAnsi="Times New Roman"/>
          <w:sz w:val="17"/>
          <w:szCs w:val="17"/>
          <w:b w:val="1"/>
          <w:bCs w:val="1"/>
          <w:color w:val="auto"/>
        </w:rPr>
        <w:t>94103</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AMPL</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28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ind w:right="140" w:firstLine="599"/>
        <w:spacing w:after="0" w:line="280" w:lineRule="auto"/>
        <w:rPr>
          <w:sz w:val="20"/>
          <w:szCs w:val="20"/>
          <w:color w:val="auto"/>
        </w:rPr>
      </w:pPr>
      <w:r>
        <w:rPr>
          <w:rFonts w:ascii="Times New Roman" w:cs="Times New Roman" w:eastAsia="Times New Roman" w:hAnsi="Times New Roman"/>
          <w:sz w:val="16"/>
          <w:szCs w:val="16"/>
          <w:color w:val="auto"/>
        </w:rPr>
        <w:t>As of July 28, 2022, there were 66,232,952 shares of the registrant's Class A common stock and 46,073,580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8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6"/>
              </w:rPr>
              <w:t>Condensed Consolidated Statements of Redeemable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6"/>
          </w:tcPr>
          <w:p>
            <w:pPr>
              <w:ind w:left="60"/>
              <w:spacing w:after="0" w:line="182" w:lineRule="exact"/>
              <w:rPr>
                <w:sz w:val="20"/>
                <w:szCs w:val="20"/>
                <w:color w:val="auto"/>
              </w:rPr>
            </w:pPr>
            <w:r>
              <w:rPr>
                <w:rFonts w:ascii="Times New Roman" w:cs="Times New Roman" w:eastAsia="Times New Roman" w:hAnsi="Times New Roman"/>
                <w:sz w:val="18"/>
                <w:szCs w:val="18"/>
                <w:color w:val="0000FF"/>
              </w:rPr>
              <w:t>Convertible Preferred Stock and 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EE"/>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top w:val="single" w:sz="8" w:color="0000EE"/>
              <w:bottom w:val="single" w:sz="8" w:color="0000EE"/>
            </w:tcBorders>
          </w:tcPr>
          <w:p>
            <w:pPr>
              <w:spacing w:after="0"/>
              <w:rPr>
                <w:sz w:val="15"/>
                <w:szCs w:val="15"/>
                <w:color w:val="auto"/>
              </w:rPr>
            </w:pPr>
          </w:p>
        </w:tc>
        <w:tc>
          <w:tcPr>
            <w:tcW w:w="4660" w:type="dxa"/>
            <w:vAlign w:val="bottom"/>
            <w:tcBorders>
              <w:top w:val="single" w:sz="8" w:color="0000EE"/>
            </w:tcBorders>
            <w:gridSpan w:val="5"/>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400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3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11"/>
          </w:tcPr>
          <w:p>
            <w:pPr>
              <w:spacing w:after="0"/>
              <w:rPr>
                <w:sz w:val="15"/>
                <w:szCs w:val="15"/>
                <w:color w:val="auto"/>
              </w:rPr>
            </w:pPr>
          </w:p>
        </w:tc>
        <w:tc>
          <w:tcPr>
            <w:tcW w:w="494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8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7"/>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7"/>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5"/>
          </w:tcPr>
          <w:p>
            <w:pPr>
              <w:spacing w:after="0"/>
              <w:rPr>
                <w:sz w:val="15"/>
                <w:szCs w:val="15"/>
                <w:color w:val="auto"/>
              </w:rPr>
            </w:pPr>
          </w:p>
        </w:tc>
        <w:tc>
          <w:tcPr>
            <w:tcW w:w="2020" w:type="dxa"/>
            <w:vAlign w:val="bottom"/>
            <w:gridSpan w:val="7"/>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5860" w:type="dxa"/>
            <w:vAlign w:val="bottom"/>
            <w:gridSpan w:val="18"/>
            <w:vMerge w:val="restart"/>
          </w:tcPr>
          <w:p>
            <w:pPr>
              <w:jc w:val="right"/>
              <w:ind w:right="1960"/>
              <w:spacing w:after="0"/>
              <w:rPr>
                <w:sz w:val="20"/>
                <w:szCs w:val="20"/>
                <w:color w:val="auto"/>
              </w:rPr>
            </w:pPr>
            <w:r>
              <w:rPr>
                <w:rFonts w:ascii="Times New Roman" w:cs="Times New Roman" w:eastAsia="Times New Roman" w:hAnsi="Times New Roman"/>
                <w:sz w:val="18"/>
                <w:szCs w:val="18"/>
                <w:color w:val="auto"/>
              </w:rPr>
              <w:t>2</w:t>
            </w: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5860" w:type="dxa"/>
            <w:vAlign w:val="bottom"/>
            <w:gridSpan w:val="18"/>
            <w:vMerge w:val="continue"/>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8"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Optimization System and upsell and cross sell additional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03"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41" w:lineRule="exact"/>
        <w:rPr>
          <w:rFonts w:ascii="Times New Roman" w:cs="Times New Roman" w:eastAsia="Times New Roman" w:hAnsi="Times New Roman"/>
          <w:sz w:val="18"/>
          <w:szCs w:val="18"/>
          <w:color w:val="auto"/>
        </w:rPr>
      </w:pPr>
    </w:p>
    <w:p>
      <w:pPr>
        <w:ind w:left="1020" w:right="12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coronavirus ("COVID-19") pandemic and other global events on our business and the global economy generally, including as a result of any new strains or variants of the virus as well as the recent and developing war in Ukraine;</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11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1"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 w:name="page4"/>
    <w:bookmarkEnd w:id="3"/>
    <w:p>
      <w:pPr>
        <w:ind w:right="60"/>
        <w:spacing w:after="0" w:line="281" w:lineRule="auto"/>
        <w:rPr>
          <w:sz w:val="20"/>
          <w:szCs w:val="20"/>
          <w:color w:val="auto"/>
        </w:rPr>
      </w:pPr>
      <w:r>
        <w:rPr>
          <w:rFonts w:ascii="Times New Roman" w:cs="Times New Roman" w:eastAsia="Times New Roman" w:hAnsi="Times New Roman"/>
          <w:sz w:val="18"/>
          <w:szCs w:val="18"/>
          <w:color w:val="auto"/>
        </w:rPr>
        <w:t>not be read to indicate that we have conducted an exhaustive inquiry into, or review of, all potentially available relevant information. These statements are inherently uncertain, and you are cautioned not to unduly rely upon these statements.</w:t>
      </w:r>
    </w:p>
    <w:p>
      <w:pPr>
        <w:spacing w:after="0" w:line="4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68" w:lineRule="exact"/>
        <w:rPr>
          <w:sz w:val="20"/>
          <w:szCs w:val="20"/>
          <w:color w:val="auto"/>
        </w:rPr>
      </w:pPr>
    </w:p>
    <w:p>
      <w:pPr>
        <w:ind w:left="1020" w:right="10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03" w:lineRule="exact"/>
        <w:rPr>
          <w:rFonts w:ascii="Times New Roman" w:cs="Times New Roman" w:eastAsia="Times New Roman" w:hAnsi="Times New Roman"/>
          <w:sz w:val="18"/>
          <w:szCs w:val="18"/>
          <w:color w:val="auto"/>
        </w:rPr>
      </w:pPr>
    </w:p>
    <w:p>
      <w:pPr>
        <w:ind w:left="1020" w:right="12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20" w:right="34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53"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41" w:lineRule="exact"/>
        <w:rPr>
          <w:rFonts w:ascii="Times New Roman" w:cs="Times New Roman" w:eastAsia="Times New Roman" w:hAnsi="Times New Roman"/>
          <w:sz w:val="18"/>
          <w:szCs w:val="18"/>
          <w:color w:val="auto"/>
        </w:rPr>
      </w:pPr>
    </w:p>
    <w:p>
      <w:pPr>
        <w:ind w:left="1020" w:right="32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in the future, may be, volatile, and could decline significantly and rapidly.</w:t>
      </w:r>
    </w:p>
    <w:p>
      <w:pPr>
        <w:spacing w:after="0" w:line="103" w:lineRule="exact"/>
        <w:rPr>
          <w:rFonts w:ascii="Times New Roman" w:cs="Times New Roman" w:eastAsia="Times New Roman" w:hAnsi="Times New Roman"/>
          <w:sz w:val="18"/>
          <w:szCs w:val="18"/>
          <w:color w:val="auto"/>
        </w:rPr>
      </w:pPr>
    </w:p>
    <w:p>
      <w:pPr>
        <w:ind w:left="1020" w:right="26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adversely affected.</w:t>
      </w:r>
    </w:p>
    <w:p>
      <w:pPr>
        <w:spacing w:after="0" w:line="103"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right="22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economic sanctions, and anti-corruption laws and regulations, that may expose us to liability and increase our costs.</w:t>
      </w:r>
    </w:p>
    <w:p>
      <w:pPr>
        <w:spacing w:after="0" w:line="53" w:lineRule="exact"/>
        <w:rPr>
          <w:rFonts w:ascii="Times New Roman" w:cs="Times New Roman" w:eastAsia="Times New Roman" w:hAnsi="Times New Roman"/>
          <w:sz w:val="18"/>
          <w:szCs w:val="18"/>
          <w:color w:val="auto"/>
        </w:rPr>
      </w:pPr>
    </w:p>
    <w:p>
      <w:pPr>
        <w:ind w:left="1020" w:right="4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6" w:lineRule="exact"/>
        <w:rPr>
          <w:rFonts w:ascii="Times New Roman" w:cs="Times New Roman" w:eastAsia="Times New Roman" w:hAnsi="Times New Roman"/>
          <w:sz w:val="18"/>
          <w:szCs w:val="18"/>
          <w:color w:val="auto"/>
        </w:rPr>
      </w:pPr>
    </w:p>
    <w:p>
      <w:pPr>
        <w:ind w:left="102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center"/>
              <w:ind w:right="600"/>
              <w:spacing w:after="0" w:line="173"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200" w:type="dxa"/>
            <w:vAlign w:val="bottom"/>
          </w:tcPr>
          <w:p>
            <w:pPr>
              <w:spacing w:after="0"/>
              <w:rPr>
                <w:sz w:val="15"/>
                <w:szCs w:val="15"/>
                <w:color w:val="auto"/>
              </w:rPr>
            </w:pPr>
          </w:p>
        </w:tc>
        <w:tc>
          <w:tcPr>
            <w:tcW w:w="156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310,024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4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Accounts receivable, net of allowance for doubtful accounts of $572</w:t>
            </w:r>
          </w:p>
        </w:tc>
        <w:tc>
          <w:tcPr>
            <w:tcW w:w="2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27,851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$85 as of June 30, 2022 and December 31, 2021, respectively</w:t>
            </w: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366,356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426,656</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400,388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98,368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117,944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128,602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4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20"/>
              <w:spacing w:after="0" w:line="175" w:lineRule="exact"/>
              <w:rPr>
                <w:sz w:val="20"/>
                <w:szCs w:val="20"/>
                <w:color w:val="auto"/>
              </w:rPr>
            </w:pPr>
            <w:r>
              <w:rPr>
                <w:rFonts w:ascii="Times New Roman" w:cs="Times New Roman" w:eastAsia="Times New Roman" w:hAnsi="Times New Roman"/>
                <w:sz w:val="16"/>
                <w:szCs w:val="16"/>
                <w:color w:val="auto"/>
              </w:rPr>
              <w:t>as of June 30, 2022 and December 31, 2021; zero shares issued and</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outstanding as of June 30, 2022 and December 31, 2021</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764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authorized as of June 30, 2022 and December 31, 2021; 66,224 and 58,725</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 outstanding as of June 30, 2022 and December 31, 2021, respectively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640" w:type="dxa"/>
            <w:vAlign w:val="bottom"/>
            <w:shd w:val="clear" w:color="auto" w:fill="CFF0FC"/>
          </w:tcPr>
          <w:p>
            <w:pPr>
              <w:ind w:left="200"/>
              <w:spacing w:after="0" w:line="152" w:lineRule="exact"/>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20"/>
              <w:spacing w:after="0" w:line="175" w:lineRule="exact"/>
              <w:rPr>
                <w:sz w:val="20"/>
                <w:szCs w:val="20"/>
                <w:color w:val="auto"/>
              </w:rPr>
            </w:pPr>
            <w:r>
              <w:rPr>
                <w:rFonts w:ascii="Times New Roman" w:cs="Times New Roman" w:eastAsia="Times New Roman" w:hAnsi="Times New Roman"/>
                <w:sz w:val="16"/>
                <w:szCs w:val="16"/>
                <w:color w:val="auto"/>
              </w:rPr>
              <w:t>shares authorized as of June 30, 2022 and December 31, 2021; 46,070</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6"/>
                <w:szCs w:val="16"/>
                <w:color w:val="auto"/>
              </w:rPr>
              <w:t>and 51,151 shares issued and outstanding as of June 30, 2022 and</w:t>
            </w:r>
          </w:p>
        </w:tc>
        <w:tc>
          <w:tcPr>
            <w:tcW w:w="280" w:type="dxa"/>
            <w:vAlign w:val="bottom"/>
            <w:shd w:val="clear" w:color="auto" w:fill="CFF0FC"/>
          </w:tcPr>
          <w:p>
            <w:pPr>
              <w:spacing w:after="0"/>
              <w:rPr>
                <w:sz w:val="14"/>
                <w:szCs w:val="14"/>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5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80" w:type="dxa"/>
            <w:vAlign w:val="bottom"/>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524,632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(226,579 )</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(179,807 )</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298,054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306,548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426,656</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400,388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-3150235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-3133090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-2088515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-299085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8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240" w:type="dxa"/>
            <w:vAlign w:val="bottom"/>
          </w:tcPr>
          <w:p>
            <w:pPr>
              <w:spacing w:after="0"/>
              <w:rPr>
                <w:sz w:val="17"/>
                <w:szCs w:val="17"/>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33,123</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124,646</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(24,290 )</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(9,715 )</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(46,195 )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(15,876 )</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(24,568 )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(46,788 )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(16,522 )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(0.57 )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4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used in computing net loss per share attributable to</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Class A</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Class B common stockholders: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110,297</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-2139950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-2139950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-2139950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-1583690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-1583690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-1583690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-1292225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-1292225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-1292225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-1009650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-1009650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-1009650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ind w:left="50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73"/>
        </w:trPr>
        <w:tc>
          <w:tcPr>
            <w:tcW w:w="28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9"/>
              </w:rPr>
              <w:t>Class A and Class B 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8"/>
        </w:trPr>
        <w:tc>
          <w:tcPr>
            <w:tcW w:w="286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17"/>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 (deficit)</w:t>
            </w:r>
          </w:p>
        </w:tc>
      </w:tr>
      <w:tr>
        <w:trPr>
          <w:trHeight w:val="15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109,876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486,354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(179,807</w:t>
            </w:r>
          </w:p>
        </w:tc>
        <w:tc>
          <w:tcPr>
            <w:tcW w:w="24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306,548</w:t>
            </w:r>
          </w:p>
        </w:tc>
        <w:tc>
          <w:tcPr>
            <w:tcW w:w="100" w:type="dxa"/>
            <w:vAlign w:val="bottom"/>
            <w:shd w:val="clear" w:color="auto" w:fill="CFF0FC"/>
          </w:tcPr>
          <w:p>
            <w:pPr>
              <w:spacing w:after="0"/>
              <w:rPr>
                <w:sz w:val="13"/>
                <w:szCs w:val="13"/>
                <w:color w:val="auto"/>
              </w:rPr>
            </w:pPr>
          </w:p>
        </w:tc>
      </w:tr>
      <w:tr>
        <w:trPr>
          <w:trHeight w:val="16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13,785</w:t>
            </w:r>
          </w:p>
        </w:tc>
        <w:tc>
          <w:tcPr>
            <w:tcW w:w="100" w:type="dxa"/>
            <w:vAlign w:val="bottom"/>
          </w:tcPr>
          <w:p>
            <w:pPr>
              <w:spacing w:after="0"/>
              <w:rPr>
                <w:sz w:val="14"/>
                <w:szCs w:val="14"/>
                <w:color w:val="auto"/>
              </w:rPr>
            </w:pPr>
          </w:p>
        </w:tc>
      </w:tr>
      <w:tr>
        <w:trPr>
          <w:trHeight w:val="162"/>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100" w:type="dxa"/>
            <w:vAlign w:val="bottom"/>
            <w:shd w:val="clear" w:color="auto" w:fill="CFF0FC"/>
          </w:tcPr>
          <w:p>
            <w:pPr>
              <w:spacing w:after="0"/>
              <w:rPr>
                <w:sz w:val="14"/>
                <w:szCs w:val="14"/>
                <w:color w:val="auto"/>
              </w:rPr>
            </w:pPr>
          </w:p>
        </w:tc>
      </w:tr>
      <w:tr>
        <w:trPr>
          <w:trHeight w:val="16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Pr>
          <w:p>
            <w:pPr>
              <w:spacing w:after="0"/>
              <w:rPr>
                <w:sz w:val="14"/>
                <w:szCs w:val="14"/>
                <w:color w:val="auto"/>
              </w:rPr>
            </w:pPr>
          </w:p>
        </w:tc>
      </w:tr>
      <w:tr>
        <w:trPr>
          <w:trHeight w:val="162"/>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35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Donation of common stock and repurchase of</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unvested stock options</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(3 )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Cumulative impact of Topic 842 adoption</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4"/>
                <w:szCs w:val="14"/>
                <w:color w:val="auto"/>
              </w:rPr>
            </w:pPr>
          </w:p>
        </w:tc>
      </w:tr>
      <w:tr>
        <w:trPr>
          <w:trHeight w:val="162"/>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(22,220 )</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(22,220 )</w:t>
            </w:r>
          </w:p>
        </w:tc>
      </w:tr>
      <w:tr>
        <w:trPr>
          <w:trHeight w:val="195"/>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March 31, 2022</w:t>
            </w:r>
          </w:p>
        </w:tc>
        <w:tc>
          <w:tcPr>
            <w:tcW w:w="700" w:type="dxa"/>
            <w:vAlign w:val="bottom"/>
            <w:tcBorders>
              <w:top w:val="single" w:sz="8" w:color="auto"/>
              <w:bottom w:val="single" w:sz="8" w:color="auto"/>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111,507</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504,859</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(202,011</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302,849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15,155</w:t>
            </w:r>
          </w:p>
        </w:tc>
        <w:tc>
          <w:tcPr>
            <w:tcW w:w="100" w:type="dxa"/>
            <w:vAlign w:val="bottom"/>
          </w:tcPr>
          <w:p>
            <w:pPr>
              <w:spacing w:after="0"/>
              <w:rPr>
                <w:sz w:val="13"/>
                <w:szCs w:val="13"/>
                <w:color w:val="auto"/>
              </w:rPr>
            </w:pPr>
          </w:p>
        </w:tc>
      </w:tr>
      <w:tr>
        <w:trPr>
          <w:trHeight w:val="181"/>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100" w:type="dxa"/>
            <w:vAlign w:val="bottom"/>
            <w:shd w:val="clear" w:color="auto" w:fill="CFF0FC"/>
          </w:tcPr>
          <w:p>
            <w:pPr>
              <w:spacing w:after="0"/>
              <w:rPr>
                <w:sz w:val="15"/>
                <w:szCs w:val="15"/>
                <w:color w:val="auto"/>
              </w:rPr>
            </w:pPr>
          </w:p>
        </w:tc>
      </w:tr>
      <w:tr>
        <w:trPr>
          <w:trHeight w:val="117"/>
        </w:trPr>
        <w:tc>
          <w:tcPr>
            <w:tcW w:w="35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 stock</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w:t>
            </w:r>
          </w:p>
        </w:tc>
        <w:tc>
          <w:tcPr>
            <w:tcW w:w="100" w:type="dxa"/>
            <w:vAlign w:val="bottom"/>
          </w:tcPr>
          <w:p>
            <w:pPr>
              <w:spacing w:after="0"/>
              <w:rPr>
                <w:sz w:val="14"/>
                <w:szCs w:val="14"/>
                <w:color w:val="auto"/>
              </w:rPr>
            </w:pPr>
          </w:p>
        </w:tc>
      </w:tr>
      <w:tr>
        <w:trPr>
          <w:trHeight w:val="183"/>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FF0FC"/>
          </w:tcPr>
          <w:p>
            <w:pPr>
              <w:spacing w:after="0"/>
              <w:rPr>
                <w:sz w:val="15"/>
                <w:szCs w:val="15"/>
                <w:color w:val="auto"/>
              </w:rPr>
            </w:pPr>
          </w:p>
        </w:tc>
      </w:tr>
      <w:tr>
        <w:trPr>
          <w:trHeight w:val="17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22"/>
        </w:trPr>
        <w:tc>
          <w:tcPr>
            <w:tcW w:w="3560" w:type="dxa"/>
            <w:vAlign w:val="bottom"/>
            <w:gridSpan w:val="2"/>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Donation of common stock and repurchase of</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0"/>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unvested stock options</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(24,568 )</w:t>
            </w:r>
          </w:p>
        </w:tc>
        <w:tc>
          <w:tcPr>
            <w:tcW w:w="14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(24,568 )</w:t>
            </w:r>
          </w:p>
        </w:tc>
      </w:tr>
      <w:tr>
        <w:trPr>
          <w:trHeight w:val="198"/>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June 30, 2022</w:t>
            </w: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112,294</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524,632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(226,579</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298,054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-1095375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-1078230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-1095375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-1078230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-1095375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-1078230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-1095375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-1078230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-1095375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-1078230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-1095375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-1078230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2240" w:type="dxa"/>
            <w:vAlign w:val="bottom"/>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73"/>
        </w:trPr>
        <w:tc>
          <w:tcPr>
            <w:tcW w:w="2560" w:type="dxa"/>
            <w:vAlign w:val="bottom"/>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A and Class B common stock</w:t>
            </w: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1080" w:type="dxa"/>
            <w:vAlign w:val="bottom"/>
            <w:gridSpan w:val="2"/>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8"/>
        </w:trPr>
        <w:tc>
          <w:tcPr>
            <w:tcW w:w="2560" w:type="dxa"/>
            <w:vAlign w:val="bottom"/>
          </w:tcPr>
          <w:p>
            <w:pPr>
              <w:spacing w:after="0"/>
              <w:rPr>
                <w:sz w:val="13"/>
                <w:szCs w:val="13"/>
                <w:color w:val="auto"/>
              </w:rPr>
            </w:pP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37"/>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1080" w:type="dxa"/>
            <w:vAlign w:val="bottom"/>
            <w:gridSpan w:val="2"/>
          </w:tcPr>
          <w:p>
            <w:pPr>
              <w:jc w:val="center"/>
              <w:ind w:right="98"/>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 (deficit)</w:t>
            </w:r>
          </w:p>
        </w:tc>
      </w:tr>
      <w:tr>
        <w:trPr>
          <w:trHeight w:val="15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61,717</w:t>
            </w:r>
          </w:p>
        </w:tc>
        <w:tc>
          <w:tcPr>
            <w:tcW w:w="26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187,811</w:t>
            </w:r>
          </w:p>
        </w:tc>
        <w:tc>
          <w:tcPr>
            <w:tcW w:w="26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27,924</w:t>
            </w:r>
          </w:p>
        </w:tc>
        <w:tc>
          <w:tcPr>
            <w:tcW w:w="26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37,704</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(104,824</w:t>
            </w:r>
          </w:p>
        </w:tc>
        <w:tc>
          <w:tcPr>
            <w:tcW w:w="24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(67,120</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00" w:type="dxa"/>
            <w:vAlign w:val="bottom"/>
          </w:tcPr>
          <w:p>
            <w:pPr>
              <w:spacing w:after="0"/>
              <w:rPr>
                <w:sz w:val="14"/>
                <w:szCs w:val="14"/>
                <w:color w:val="auto"/>
              </w:rPr>
            </w:pPr>
          </w:p>
        </w:tc>
      </w:tr>
      <w:tr>
        <w:trPr>
          <w:trHeight w:val="16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100" w:type="dxa"/>
            <w:vAlign w:val="bottom"/>
            <w:shd w:val="clear" w:color="auto" w:fill="CFF0FC"/>
          </w:tcPr>
          <w:p>
            <w:pPr>
              <w:spacing w:after="0"/>
              <w:rPr>
                <w:sz w:val="14"/>
                <w:szCs w:val="14"/>
                <w:color w:val="auto"/>
              </w:rPr>
            </w:pPr>
          </w:p>
        </w:tc>
      </w:tr>
      <w:tr>
        <w:trPr>
          <w:trHeight w:val="16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r>
      <w:tr>
        <w:trPr>
          <w:trHeight w:val="16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(6,439 )</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(6,439 )</w:t>
            </w:r>
          </w:p>
        </w:tc>
      </w:tr>
      <w:tr>
        <w:trPr>
          <w:trHeight w:val="20"/>
        </w:trPr>
        <w:tc>
          <w:tcPr>
            <w:tcW w:w="25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61,717</w:t>
            </w:r>
          </w:p>
        </w:tc>
        <w:tc>
          <w:tcPr>
            <w:tcW w:w="260" w:type="dxa"/>
            <w:vAlign w:val="bottom"/>
          </w:tcPr>
          <w:p>
            <w:pPr>
              <w:spacing w:after="0"/>
              <w:rPr>
                <w:sz w:val="13"/>
                <w:szCs w:val="13"/>
                <w:color w:val="auto"/>
              </w:rPr>
            </w:pP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187,811</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29,150</w:t>
            </w:r>
          </w:p>
        </w:tc>
        <w:tc>
          <w:tcPr>
            <w:tcW w:w="260" w:type="dxa"/>
            <w:vAlign w:val="bottom"/>
          </w:tcPr>
          <w:p>
            <w:pPr>
              <w:spacing w:after="0"/>
              <w:rPr>
                <w:sz w:val="13"/>
                <w:szCs w:val="13"/>
                <w:color w:val="auto"/>
              </w:rPr>
            </w:pP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41,999</w:t>
            </w:r>
          </w:p>
        </w:tc>
        <w:tc>
          <w:tcPr>
            <w:tcW w:w="2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(111,263 )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(69,264 )</w:t>
            </w:r>
          </w:p>
        </w:tc>
      </w:tr>
      <w:tr>
        <w:trPr>
          <w:trHeight w:val="20"/>
        </w:trPr>
        <w:tc>
          <w:tcPr>
            <w:tcW w:w="2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560" w:type="dxa"/>
            <w:vAlign w:val="bottom"/>
            <w:shd w:val="clear" w:color="auto" w:fill="CFF0FC"/>
          </w:tcPr>
          <w:p>
            <w:pPr>
              <w:ind w:left="20"/>
              <w:spacing w:after="0" w:line="89" w:lineRule="exact"/>
              <w:rPr>
                <w:sz w:val="20"/>
                <w:szCs w:val="20"/>
                <w:color w:val="auto"/>
              </w:rPr>
            </w:pPr>
            <w:r>
              <w:rPr>
                <w:rFonts w:ascii="Times New Roman" w:cs="Times New Roman" w:eastAsia="Times New Roman" w:hAnsi="Times New Roman"/>
                <w:sz w:val="10"/>
                <w:szCs w:val="10"/>
                <w:color w:val="auto"/>
              </w:rPr>
              <w:t>Issuance of redeemable convertible preferred</w:t>
            </w:r>
          </w:p>
        </w:tc>
        <w:tc>
          <w:tcPr>
            <w:tcW w:w="9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18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net of issuance costs of $198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5,419</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173,302</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100" w:type="dxa"/>
            <w:vAlign w:val="bottom"/>
          </w:tcPr>
          <w:p>
            <w:pPr>
              <w:spacing w:after="0"/>
              <w:rPr>
                <w:sz w:val="14"/>
                <w:szCs w:val="14"/>
                <w:color w:val="auto"/>
              </w:rPr>
            </w:pPr>
          </w:p>
        </w:tc>
      </w:tr>
      <w:tr>
        <w:trPr>
          <w:trHeight w:val="16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100" w:type="dxa"/>
            <w:vAlign w:val="bottom"/>
            <w:shd w:val="clear" w:color="auto" w:fill="CFF0FC"/>
          </w:tcPr>
          <w:p>
            <w:pPr>
              <w:spacing w:after="0"/>
              <w:rPr>
                <w:sz w:val="14"/>
                <w:szCs w:val="14"/>
                <w:color w:val="auto"/>
              </w:rPr>
            </w:pPr>
          </w:p>
        </w:tc>
      </w:tr>
      <w:tr>
        <w:trPr>
          <w:trHeight w:val="16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4"/>
                <w:szCs w:val="14"/>
                <w:color w:val="auto"/>
              </w:rPr>
            </w:pPr>
          </w:p>
        </w:tc>
      </w:tr>
      <w:tr>
        <w:trPr>
          <w:trHeight w:val="108"/>
        </w:trPr>
        <w:tc>
          <w:tcPr>
            <w:tcW w:w="2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in connection with</w:t>
            </w: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8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 acquisition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7,402</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7,402</w:t>
            </w:r>
          </w:p>
        </w:tc>
        <w:tc>
          <w:tcPr>
            <w:tcW w:w="100" w:type="dxa"/>
            <w:vAlign w:val="bottom"/>
            <w:shd w:val="clear" w:color="auto" w:fill="CFF0FC"/>
          </w:tcPr>
          <w:p>
            <w:pPr>
              <w:spacing w:after="0"/>
              <w:rPr>
                <w:sz w:val="16"/>
                <w:szCs w:val="16"/>
                <w:color w:val="auto"/>
              </w:rPr>
            </w:pPr>
          </w:p>
        </w:tc>
      </w:tr>
      <w:tr>
        <w:trPr>
          <w:trHeight w:val="16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(10,083 )</w:t>
            </w:r>
          </w:p>
        </w:tc>
        <w:tc>
          <w:tcPr>
            <w:tcW w:w="180" w:type="dxa"/>
            <w:vAlign w:val="bottom"/>
          </w:tcPr>
          <w:p>
            <w:pPr>
              <w:spacing w:after="0"/>
              <w:rPr>
                <w:sz w:val="14"/>
                <w:szCs w:val="14"/>
                <w:color w:val="auto"/>
              </w:rPr>
            </w:pP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(10,083 )</w:t>
            </w:r>
          </w:p>
        </w:tc>
      </w:tr>
      <w:tr>
        <w:trPr>
          <w:trHeight w:val="19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June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67,136</w:t>
            </w: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361,113</w:t>
            </w:r>
          </w:p>
        </w:tc>
        <w:tc>
          <w:tcPr>
            <w:tcW w:w="2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31,910</w:t>
            </w:r>
          </w:p>
        </w:tc>
        <w:tc>
          <w:tcPr>
            <w:tcW w:w="2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55,657</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(121,346</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(65,689</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-1061085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-1061085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-1061085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-1061085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-1061085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-1061085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ind w:left="50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4000" w:type="dxa"/>
            <w:vAlign w:val="bottom"/>
            <w:gridSpan w:val="6"/>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7240" w:type="dxa"/>
            <w:vAlign w:val="bottom"/>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(46,788 )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(16,522 )</w:t>
            </w: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(7,543 )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(7,805 )</w:t>
            </w:r>
          </w:p>
        </w:tc>
      </w:tr>
      <w:tr>
        <w:trPr>
          <w:trHeight w:val="216"/>
        </w:trPr>
        <w:tc>
          <w:tcPr>
            <w:tcW w:w="7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(5,088 )</w:t>
            </w:r>
          </w:p>
        </w:tc>
      </w:tr>
      <w:tr>
        <w:trPr>
          <w:trHeight w:val="216"/>
        </w:trPr>
        <w:tc>
          <w:tcPr>
            <w:tcW w:w="7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commissions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(4,895 )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(5,517 )</w:t>
            </w:r>
          </w:p>
        </w:tc>
      </w:tr>
      <w:tr>
        <w:trPr>
          <w:trHeight w:val="216"/>
        </w:trPr>
        <w:tc>
          <w:tcPr>
            <w:tcW w:w="7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(2,691 )</w:t>
            </w:r>
          </w:p>
        </w:tc>
      </w:tr>
      <w:tr>
        <w:trPr>
          <w:trHeight w:val="216"/>
        </w:trPr>
        <w:tc>
          <w:tcPr>
            <w:tcW w:w="7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(2,591 )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(699 )</w:t>
            </w:r>
          </w:p>
        </w:tc>
      </w:tr>
      <w:tr>
        <w:trPr>
          <w:trHeight w:val="216"/>
        </w:trPr>
        <w:tc>
          <w:tcPr>
            <w:tcW w:w="7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(1,382 )</w:t>
            </w:r>
          </w:p>
        </w:tc>
        <w:tc>
          <w:tcPr>
            <w:tcW w:w="34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72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(2,525 )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(655 )</w:t>
            </w: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(1,263 )</w:t>
            </w: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(731 )</w:t>
            </w:r>
          </w:p>
        </w:tc>
      </w:tr>
      <w:tr>
        <w:trPr>
          <w:trHeight w:val="216"/>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(3,788 )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redeemable convertible preferred stock, net</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173,302</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tax withholding obligations on equity award settlements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(11,132 )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(1,420 )</w:t>
            </w: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unvested stock options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r>
      <w:tr>
        <w:trPr>
          <w:trHeight w:val="209"/>
        </w:trPr>
        <w:tc>
          <w:tcPr>
            <w:tcW w:w="72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179,313</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174,129</w:t>
            </w:r>
          </w:p>
        </w:tc>
        <w:tc>
          <w:tcPr>
            <w:tcW w:w="26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310,875</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292,992</w:t>
            </w:r>
          </w:p>
        </w:tc>
        <w:tc>
          <w:tcPr>
            <w:tcW w:w="26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6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liabilities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r>
      <w:tr>
        <w:trPr>
          <w:trHeight w:val="234"/>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-2964815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-2964815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-2408555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-2408555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-1287145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-1287145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-1004570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-1004570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48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0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Optimization System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0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8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2021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7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for the year ended December 31, 2021 (the "2021 Form 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0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68" w:lineRule="exact"/>
        <w:rPr>
          <w:sz w:val="20"/>
          <w:szCs w:val="20"/>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6"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03" w:lineRule="exact"/>
        <w:rPr>
          <w:rFonts w:ascii="Times New Roman" w:cs="Times New Roman" w:eastAsia="Times New Roman" w:hAnsi="Times New Roman"/>
          <w:sz w:val="18"/>
          <w:szCs w:val="18"/>
          <w:color w:val="auto"/>
        </w:rPr>
      </w:pPr>
    </w:p>
    <w:p>
      <w:pPr>
        <w:ind w:left="1140" w:right="20" w:hanging="369"/>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Company’s common stock and stock-based awards for periods prior to the direct listing of the Company's Class A common stock on the Nasdaq Capital Market (the "Direct Listing");</w:t>
      </w:r>
    </w:p>
    <w:p>
      <w:pPr>
        <w:spacing w:after="0" w:line="6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0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measurement, and valuation of deferred tax assets and income tax uncertainties; and</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 w:name="page11"/>
    <w:bookmarkEnd w:id="10"/>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 used for operating leases.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0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0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cash equivalents, restricted cash,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three and six months ended June 30, 2022 and 2021. As of the quarter ended June 30, 2022, no customer accounted for 10% of accounts receivable. As of the year ended December 31, 2021, one customer represented 10% of accounts receivable.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07"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2021 Form 10-K. There have been no significant changes to these policies that have had a material impact on the Company's condensed consolidated financial statements and related notes for the six months ended June 30, 2022 other than for the adoption of new accounting guidance related to leases effective January 1, 2022 further described below.</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w:t>
      </w:r>
    </w:p>
    <w:p>
      <w:pPr>
        <w:spacing w:after="0" w:line="9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Operating lease ROU assets and liabilities were recognized at adoption date or lease commencement date, if the commencement date was after January 1, 2022,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w:t>
      </w:r>
    </w:p>
    <w:p>
      <w:pPr>
        <w:spacing w:after="0" w:line="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1" w:name="page12"/>
    <w:bookmarkEnd w:id="11"/>
    <w:p>
      <w:pPr>
        <w:ind w:firstLine="509"/>
        <w:spacing w:after="0" w:line="247" w:lineRule="auto"/>
        <w:rPr>
          <w:sz w:val="20"/>
          <w:szCs w:val="20"/>
          <w:color w:val="auto"/>
        </w:rPr>
      </w:pPr>
      <w:r>
        <w:rPr>
          <w:rFonts w:ascii="Times New Roman" w:cs="Times New Roman" w:eastAsia="Times New Roman" w:hAnsi="Times New Roman"/>
          <w:sz w:val="18"/>
          <w:szCs w:val="18"/>
          <w:color w:val="auto"/>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spacing w:after="0" w:line="70"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Operating leases are classified in "Operating lease right-of-use assets" and "Operating lease liabilities, noncurrent" on the Company's condensed consolidated balance sheets. The current balance of the operating lease liabilities is included within "Accrued expenses" on the Company's condensed consolidated balance sheets. Operating lease expense is recognized on a straight-line basis over the expected lease term and included in "Operating expenses" in the Company's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 xml:space="preserve">In February 2016, the Financial Accounting Standards Board ("FASB") issued Accounting Standards Update (“ASU”) No. 2016-02, </w:t>
      </w:r>
      <w:r>
        <w:rPr>
          <w:rFonts w:ascii="Times New Roman" w:cs="Times New Roman" w:eastAsia="Times New Roman" w:hAnsi="Times New Roman"/>
          <w:sz w:val="17"/>
          <w:szCs w:val="17"/>
          <w:i w:val="1"/>
          <w:iCs w:val="1"/>
          <w:color w:val="auto"/>
        </w:rPr>
        <w:t>Leases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842)</w:t>
      </w:r>
      <w:r>
        <w:rPr>
          <w:rFonts w:ascii="Times New Roman" w:cs="Times New Roman" w:eastAsia="Times New Roman" w:hAnsi="Times New Roman"/>
          <w:sz w:val="17"/>
          <w:szCs w:val="17"/>
          <w:color w:val="auto"/>
        </w:rPr>
        <w:t>, which requires companies to recognize lease liabilities and corresponding right-of-use leased assets on the balance sheets and to disclose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in 2018 and 2019, the FASB issued the following Topic 842–related ASUs:</w:t>
      </w:r>
    </w:p>
    <w:p>
      <w:pPr>
        <w:spacing w:after="0" w:line="115" w:lineRule="exact"/>
        <w:rPr>
          <w:sz w:val="20"/>
          <w:szCs w:val="20"/>
          <w:color w:val="auto"/>
        </w:rPr>
      </w:pPr>
    </w:p>
    <w:p>
      <w:pPr>
        <w:ind w:left="1140" w:right="180" w:hanging="369"/>
        <w:spacing w:after="0" w:line="26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which clarifies the applicability of Topic 842 to land easements and provides an optional transition practical expedient for existing land easements;</w:t>
      </w:r>
    </w:p>
    <w:p>
      <w:pPr>
        <w:spacing w:after="0" w:line="50"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makes certain technical corrections to Topic 842;</w:t>
      </w:r>
    </w:p>
    <w:p>
      <w:pPr>
        <w:spacing w:after="0" w:line="116" w:lineRule="exact"/>
        <w:rPr>
          <w:rFonts w:ascii="Times New Roman" w:cs="Times New Roman" w:eastAsia="Times New Roman" w:hAnsi="Times New Roman"/>
          <w:sz w:val="18"/>
          <w:szCs w:val="18"/>
          <w:color w:val="auto"/>
        </w:rPr>
      </w:pPr>
    </w:p>
    <w:p>
      <w:pPr>
        <w:ind w:left="1140" w:right="40" w:hanging="369"/>
        <w:spacing w:after="0" w:line="25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78" w:lineRule="exact"/>
        <w:rPr>
          <w:rFonts w:ascii="Times New Roman" w:cs="Times New Roman" w:eastAsia="Times New Roman" w:hAnsi="Times New Roman"/>
          <w:sz w:val="18"/>
          <w:szCs w:val="18"/>
          <w:color w:val="auto"/>
        </w:rPr>
      </w:pPr>
    </w:p>
    <w:p>
      <w:pPr>
        <w:ind w:left="1140" w:right="220" w:hanging="369"/>
        <w:spacing w:after="0" w:line="25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6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Company adopted the new standard as of January 1, 2022, and recognized a cumulative-effect adjustment to the opening balance of accumulated deficit as of adoption date. The Company elected the optional transition approach to not apply Topic 842 in the comparative periods presented. The Company elected the relief package of practical expedients to not reassess whether existing contracts contain leases, the lease term and classification for existing leases and whether existing initial direct costs meet the new definition. The adoption of Topic 842 resulted in the recognition of total right-of-use of $11.6 million and total lease liabilities of $13.2 million as of the date of adoption. Additionally, the Company has derecognized $1.6 million in deferred rent upon adoption of this standard. The adoption of Topic 842 did not have a material impact to the condensed consolidated statements of operations or statements of cash flows.</w:t>
      </w:r>
    </w:p>
    <w:p>
      <w:pPr>
        <w:spacing w:after="0" w:line="19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The Company early adopted the standard as of January 1, 2022. The adoption of ASC 350 did not have a material impact to the condensed consolidated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5"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Credit Losses: </w:t>
      </w:r>
      <w:r>
        <w:rPr>
          <w:rFonts w:ascii="Times New Roman" w:cs="Times New Roman" w:eastAsia="Times New Roman" w:hAnsi="Times New Roman"/>
          <w:sz w:val="18"/>
          <w:szCs w:val="18"/>
          <w:color w:val="auto"/>
        </w:rPr>
        <w:t>In June 2016, the FASB issued ASU No. 2016-13,</w:t>
      </w:r>
      <w:r>
        <w:rPr>
          <w:rFonts w:ascii="Times New Roman" w:cs="Times New Roman" w:eastAsia="Times New Roman" w:hAnsi="Times New Roman"/>
          <w:sz w:val="18"/>
          <w:szCs w:val="18"/>
          <w:i w:val="1"/>
          <w:iCs w:val="1"/>
          <w:color w:val="auto"/>
        </w:rPr>
        <w:t xml:space="preserve"> Financial Instruments (Topic 326). </w:t>
      </w:r>
      <w:r>
        <w:rPr>
          <w:rFonts w:ascii="Times New Roman" w:cs="Times New Roman" w:eastAsia="Times New Roman" w:hAnsi="Times New Roman"/>
          <w:sz w:val="18"/>
          <w:szCs w:val="18"/>
          <w:color w:val="auto"/>
        </w:rPr>
        <w:t>This standard revises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U.S. GAAP methodology by requiring measurement and immediate recognition of expected credit losses on in-scope financial instruments, including trade receivables. ASU No. 2016-13 is effective for annual periods beginning after December 15, 2022, with early adoption permitted in fiscal years beginning after December 31, 2018. The Company is currently in the process of evaluating the impact of adoption on its consolidated financial statements.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2" w:name="page13"/>
    <w:bookmarkEnd w:id="12"/>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amount of revenue recognized in the six months ended June 30, 2022 that was included in deferred revenue as of December 31, 2021 was $56.7 million.</w:t>
      </w:r>
    </w:p>
    <w:p>
      <w:pPr>
        <w:spacing w:after="0" w:line="17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December 31, 2021, unrecognized transaction price related to remaining performance obligations was $227.6 million and $170.1 million, respectively. The Company’s remaining performance obligations as of June 30, 2022 and December 31, 2021 are expected to be recognized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7"/>
                <w:szCs w:val="17"/>
                <w:color w:val="auto"/>
              </w:rPr>
            </w:pPr>
          </w:p>
        </w:tc>
      </w:tr>
      <w:tr>
        <w:trPr>
          <w:trHeight w:val="189"/>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7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170,173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32,868</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227,586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07"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billing address of its customers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7"/>
                <w:szCs w:val="17"/>
                <w:color w:val="auto"/>
              </w:rPr>
            </w:pPr>
          </w:p>
        </w:tc>
      </w:t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following table represents a rollforward of the Company’s deferred commissions for the three and six months ended June 30, 2022 and 2021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4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(2,331 )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(1,564 )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(4,362 )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(2,987 )</w:t>
            </w:r>
          </w:p>
        </w:tc>
      </w:tr>
      <w:tr>
        <w:trPr>
          <w:trHeight w:val="209"/>
        </w:trPr>
        <w:tc>
          <w:tcPr>
            <w:tcW w:w="4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tcBorders>
              <w:top w:val="single" w:sz="8" w:color="CFF0FC"/>
            </w:tcBorders>
          </w:tcPr>
          <w:p>
            <w:pPr>
              <w:spacing w:after="0"/>
              <w:rPr>
                <w:sz w:val="18"/>
                <w:szCs w:val="18"/>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tcPr>
          <w:p>
            <w:pPr>
              <w:spacing w:after="0"/>
              <w:rPr>
                <w:sz w:val="18"/>
                <w:szCs w:val="18"/>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1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6"/>
        </w:trPr>
        <w:tc>
          <w:tcPr>
            <w:tcW w:w="4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-1018540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-1018540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-1018540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-444500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-427355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-444500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-427355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-444500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-427355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3" w:name="page14"/>
    <w:bookmarkEnd w:id="13"/>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June 30, 2022 and 2021 and December 31, 2021 and 2020.</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Company's cash, cash equivalents, and restricted cash at each period end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18"/>
                <w:szCs w:val="18"/>
                <w:color w:val="auto"/>
              </w:rPr>
            </w:pPr>
          </w:p>
        </w:tc>
      </w:tr>
      <w:tr>
        <w:trPr>
          <w:trHeight w:val="238"/>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117,783</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310,875</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292,992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hosting</w:t>
            </w:r>
          </w:p>
        </w:tc>
        <w:tc>
          <w:tcPr>
            <w:tcW w:w="2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24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27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related taxes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2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from early exercised stock options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Employee Stock Purchase Plan withholding</w:t>
            </w:r>
          </w:p>
        </w:tc>
        <w:tc>
          <w:tcPr>
            <w:tcW w:w="2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2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2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-2764790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-2747645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-2764790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-589915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 w:name="page15"/>
    <w:bookmarkEnd w:id="14"/>
    <w:p>
      <w:pPr>
        <w:jc w:val="both"/>
        <w:ind w:right="8320" w:firstLine="8"/>
        <w:spacing w:after="0" w:line="361" w:lineRule="auto"/>
        <w:tabs>
          <w:tab w:leader="none" w:pos="5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b w:val="1"/>
          <w:bCs w:val="1"/>
          <w:i w:val="1"/>
          <w:iCs w:val="1"/>
          <w:color w:val="auto"/>
        </w:rPr>
        <w:t>Intangible Assets Other Than Goodwill</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5"/>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100" w:type="dxa"/>
            <w:vAlign w:val="bottom"/>
          </w:tcPr>
          <w:p>
            <w:pPr>
              <w:spacing w:after="0"/>
              <w:rPr>
                <w:sz w:val="20"/>
                <w:szCs w:val="20"/>
                <w:color w:val="auto"/>
              </w:rPr>
            </w:pPr>
          </w:p>
        </w:tc>
      </w:tr>
      <w:tr>
        <w:trPr>
          <w:trHeight w:val="131"/>
        </w:trPr>
        <w:tc>
          <w:tcPr>
            <w:tcW w:w="2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5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Pr>
          <w:p>
            <w:pPr>
              <w:jc w:val="right"/>
              <w:ind w:right="97"/>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1220" w:type="dxa"/>
            <w:vAlign w:val="bottom"/>
            <w:gridSpan w:val="3"/>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jc w:val="right"/>
              <w:ind w:right="157"/>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3"/>
                <w:szCs w:val="13"/>
                <w:color w:val="auto"/>
              </w:rPr>
            </w:pPr>
          </w:p>
        </w:tc>
      </w:tr>
      <w:tr>
        <w:trPr>
          <w:trHeight w:val="189"/>
        </w:trPr>
        <w:tc>
          <w:tcPr>
            <w:tcW w:w="2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gridSpan w:val="2"/>
          </w:tcPr>
          <w:p>
            <w:pPr>
              <w:spacing w:after="0"/>
              <w:rPr>
                <w:sz w:val="16"/>
                <w:szCs w:val="16"/>
                <w:color w:val="auto"/>
              </w:rPr>
            </w:pPr>
          </w:p>
        </w:tc>
        <w:tc>
          <w:tcPr>
            <w:tcW w:w="12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09"/>
        </w:trPr>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(3,221 )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(2,303 )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related</w:t>
            </w:r>
          </w:p>
        </w:tc>
        <w:tc>
          <w:tcPr>
            <w:tcW w:w="9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29"/>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shd w:val="clear" w:color="auto" w:fill="CFF0FC"/>
          </w:tcPr>
          <w:p>
            <w:pPr>
              <w:jc w:val="right"/>
              <w:spacing w:after="0" w:line="20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bscript"/>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FF0FC"/>
          </w:tcPr>
          <w:p>
            <w:pPr>
              <w:spacing w:after="0"/>
              <w:rPr>
                <w:sz w:val="19"/>
                <w:szCs w:val="19"/>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-919480</wp:posOffset>
            </wp:positionV>
            <wp:extent cx="102235" cy="3505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235" cy="35052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-919480</wp:posOffset>
            </wp:positionV>
            <wp:extent cx="102235" cy="3505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235" cy="350520"/>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-919480</wp:posOffset>
            </wp:positionV>
            <wp:extent cx="93980" cy="3505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3505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-919480</wp:posOffset>
            </wp:positionV>
            <wp:extent cx="93980" cy="3505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350520"/>
                    </a:xfrm>
                    <a:prstGeom prst="rect">
                      <a:avLst/>
                    </a:prstGeom>
                    <a:noFill/>
                  </pic:spPr>
                </pic:pic>
              </a:graphicData>
            </a:graphic>
          </wp:anchor>
        </w:drawing>
        <w:drawing>
          <wp:anchor simplePos="0" relativeHeight="251657728" behindDoc="1" locked="0" layoutInCell="0" allowOverlap="1">
            <wp:simplePos x="0" y="0"/>
            <wp:positionH relativeFrom="column">
              <wp:posOffset>6122670</wp:posOffset>
            </wp:positionH>
            <wp:positionV relativeFrom="paragraph">
              <wp:posOffset>-919480</wp:posOffset>
            </wp:positionV>
            <wp:extent cx="93980" cy="3505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3505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-919480</wp:posOffset>
            </wp:positionV>
            <wp:extent cx="93980" cy="3505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35052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$0.5 million and $1.0 million for the three and six months ended June 30, 2022, respectively, and $0.4 million and $0.6 million for the three and six months ended June 30, 2021,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June 30, 2022, future amortization expense is expected to be as follows (in thousands):</w:t>
            </w: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(Deficit) and Equity Incentive Plans</w:t>
            </w: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0" w:type="dxa"/>
            <w:vAlign w:val="bottom"/>
            <w:vMerge w:val="continue"/>
          </w:tcPr>
          <w:p>
            <w:pPr>
              <w:spacing w:after="0"/>
              <w:rPr>
                <w:sz w:val="24"/>
                <w:szCs w:val="24"/>
                <w:color w:val="auto"/>
              </w:rPr>
            </w:pPr>
          </w:p>
        </w:tc>
        <w:tc>
          <w:tcPr>
            <w:tcW w:w="8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0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board of directors.</w:t>
      </w:r>
    </w:p>
    <w:p>
      <w:pPr>
        <w:spacing w:after="0" w:line="6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7"/>
          <w:szCs w:val="17"/>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25" w:lineRule="auto"/>
        <w:rPr>
          <w:sz w:val="20"/>
          <w:szCs w:val="20"/>
          <w:color w:val="auto"/>
        </w:rPr>
      </w:pPr>
      <w:r>
        <w:rPr>
          <w:rFonts w:ascii="Times New Roman" w:cs="Times New Roman" w:eastAsia="Times New Roman" w:hAnsi="Times New Roman"/>
          <w:sz w:val="18"/>
          <w:szCs w:val="18"/>
          <w:b w:val="1"/>
          <w:bCs w:val="1"/>
          <w:color w:val="auto"/>
        </w:rPr>
        <w:t>June 30,</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4445</wp:posOffset>
            </wp:positionV>
            <wp:extent cx="1036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17,620,837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6,475,393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21,090,767</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3,585,845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1036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48,772,842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25"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4445</wp:posOffset>
            </wp:positionV>
            <wp:extent cx="1036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21,214,155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1,716,614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19,005,008</w:t>
      </w:r>
    </w:p>
    <w:p>
      <w:pPr>
        <w:spacing w:after="0" w:line="20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2,663,371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1036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44,599,148</w:t>
      </w:r>
    </w:p>
    <w:p>
      <w:pPr>
        <w:spacing w:after="0" w:line="1028" w:lineRule="exact"/>
        <w:rPr>
          <w:sz w:val="20"/>
          <w:szCs w:val="20"/>
          <w:color w:val="auto"/>
        </w:rPr>
      </w:pPr>
    </w:p>
    <w:p>
      <w:pPr>
        <w:sectPr>
          <w:pgSz w:w="11900" w:h="16838" w:orient="portrait"/>
          <w:cols w:equalWidth="0" w:num="3">
            <w:col w:w="7360" w:space="720"/>
            <w:col w:w="1140" w:space="560"/>
            <w:col w:w="1440"/>
          </w:cols>
          <w:pgMar w:left="320" w:top="539" w:right="359" w:bottom="1440" w:gutter="0" w:footer="0" w:header="0"/>
        </w:sect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 total of 18,643,596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0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Stock options granted under the 2014 Plan and the 2021 Plan (collectively, the "combined stock plans") generally vest based on continued service over four years. Options issued outside of the combined stock plans were immaterial and therefore not discussed further below.</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for the six months ended June 30, 2022 is set forth below:</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8"/>
                <w:szCs w:val="18"/>
                <w:color w:val="auto"/>
              </w:rPr>
            </w:pPr>
          </w:p>
        </w:tc>
      </w:tr>
      <w:tr>
        <w:trPr>
          <w:trHeight w:val="238"/>
        </w:trPr>
        <w:tc>
          <w:tcPr>
            <w:tcW w:w="52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21,214,155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(1,932,702 )</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(1,844,246 )</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Balances as of June 30, 2022</w:t>
            </w:r>
            <w:r>
              <w:rPr>
                <w:rFonts w:ascii="Times New Roman" w:cs="Times New Roman" w:eastAsia="Times New Roman" w:hAnsi="Times New Roman"/>
                <w:sz w:val="24"/>
                <w:szCs w:val="24"/>
                <w:color w:val="auto"/>
                <w:vertAlign w:val="superscript"/>
              </w:rPr>
              <w:t>(1)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17,620,837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28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color w:val="auto"/>
              </w:rPr>
              <w:t>Exercisable as of June 30, 2022</w:t>
            </w:r>
            <w:r>
              <w:rPr>
                <w:rFonts w:ascii="Times New Roman" w:cs="Times New Roman" w:eastAsia="Times New Roman" w:hAnsi="Times New Roman"/>
                <w:sz w:val="22"/>
                <w:szCs w:val="22"/>
                <w:color w:val="auto"/>
                <w:vertAlign w:val="superscript"/>
              </w:rPr>
              <w:t>(2)</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12,542,495</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140,225</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-753110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-170815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ind w:left="380" w:right="140" w:hanging="372"/>
        <w:spacing w:after="0" w:line="25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June 30, 2022, no options were outstanding that were subject to a future performance condition</w:t>
      </w: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Exercisable shares include vested options as well as unvested shares that can be early exercised</w:t>
      </w:r>
    </w:p>
    <w:p>
      <w:pPr>
        <w:spacing w:after="0" w:line="9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During December 2020, the Company granted 1,756,545 stock options to two executives which contain both a service condition and a performance condition. Based on the terms of the options, the vesting commencement date is defined as the date on which a registration statement on Form S-1 filed with the SEC becomes effective (a “QPO Event”). In conjunction with the Direct Listing, a QPO Event occurred and therefore the options began to vest 1/24th each month subsequent to September 21, 2021. During the three and six months ended June 30, 2022, the Company recognized $0.4 million and $0.9 million in expense related to these awards using the accelerated attribution method. The unrecognized stock-based compensation expense was $0.8 million and $1.7 million as of June 30, 2022 and December 31, 2021, respectively.</w:t>
      </w:r>
    </w:p>
    <w:p>
      <w:pPr>
        <w:spacing w:after="0" w:line="7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six months ended June 30, 2022 and 2021 was $22.5 million and $57.4 million, respectively.</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options granted during the six months ended June 30, 2022 and June 30, 2021 had a weighted average grant date fair value of $15.63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$5.07 per share, respectively. With the exception of the performance options detailed above, the fair value is being expensed over the vesting period of the</w:t>
      </w:r>
    </w:p>
    <w:p>
      <w:pPr>
        <w:spacing w:after="0" w:line="234" w:lineRule="auto"/>
        <w:rPr>
          <w:sz w:val="20"/>
          <w:szCs w:val="20"/>
          <w:color w:val="auto"/>
        </w:rPr>
      </w:pPr>
      <w:r>
        <w:rPr>
          <w:rFonts w:ascii="Times New Roman" w:cs="Times New Roman" w:eastAsia="Times New Roman" w:hAnsi="Times New Roman"/>
          <w:sz w:val="18"/>
          <w:szCs w:val="18"/>
          <w:color w:val="auto"/>
        </w:rPr>
        <w:t>options on a straight-line basis as the services are being provided. The total grant date fair value of shares vested during the six months ended June 30, 2022</w:t>
      </w:r>
    </w:p>
    <w:p>
      <w:pPr>
        <w:spacing w:after="0"/>
        <w:rPr>
          <w:sz w:val="20"/>
          <w:szCs w:val="20"/>
          <w:color w:val="auto"/>
        </w:rPr>
      </w:pPr>
      <w:r>
        <w:rPr>
          <w:rFonts w:ascii="Times New Roman" w:cs="Times New Roman" w:eastAsia="Times New Roman" w:hAnsi="Times New Roman"/>
          <w:sz w:val="18"/>
          <w:szCs w:val="18"/>
          <w:color w:val="auto"/>
        </w:rPr>
        <w:t>and 2021 was $10.5 million and $3.2 million, respectively. No tax benefits were realized from options during the periods.</w:t>
      </w:r>
    </w:p>
    <w:p>
      <w:pPr>
        <w:spacing w:after="0" w:line="83"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total unrecognized stock-based compensation expense related to options outstanding under the combined stock plans was $27.0 million. This unrecognized expense as of June 30, 2022 is expected to be recognized over the weighted average remaining vesting period of 2.25 years. As of June 30, 2022, the Company had 354,500 shares of non-employee stock options outstanding under the combined stock plans.</w:t>
      </w:r>
    </w:p>
    <w:p>
      <w:pPr>
        <w:spacing w:after="0" w:line="1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typically over a three- to four-year period.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six months ended June 30, 2022, the Company recorded $10.1 million and $16.3 million in expense related to RSUs, respectively. No stock-based compensation expense was recognized during the three and six months ended June 30, 2021 as the Company evaluated the performance condition being met as not probable as of June 30, 2021.</w:t>
      </w:r>
    </w:p>
    <w:p>
      <w:pPr>
        <w:spacing w:after="0" w:line="78"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total unrecognized stock-based compensation expense related to RSUs was $131.5 million. This unrecognized expense as of June 30, 2022 is expected to be recognized over the weighted average remaining vesting period of 2.81 years. As of June 30, 2022, the Company had 271,946 shares of non-employee RSUs outstanding under the combined stock plans.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7"/>
          <w:szCs w:val="17"/>
          <w:color w:val="auto"/>
        </w:rPr>
        <w:t>RSU activity during the six months ended June 30,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300" w:type="dxa"/>
            <w:vAlign w:val="bottom"/>
          </w:tcPr>
          <w:p>
            <w:pPr>
              <w:spacing w:after="0"/>
              <w:rPr>
                <w:sz w:val="17"/>
                <w:szCs w:val="17"/>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9"/>
        </w:trPr>
        <w:tc>
          <w:tcPr>
            <w:tcW w:w="2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26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1,716,614</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191"/>
        </w:trPr>
        <w:tc>
          <w:tcPr>
            <w:tcW w:w="2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5,493,481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16"/>
        </w:trPr>
        <w:tc>
          <w:tcPr>
            <w:tcW w:w="2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(316,652 )</w:t>
            </w: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34"/>
        </w:trPr>
        <w:tc>
          <w:tcPr>
            <w:tcW w:w="2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(418,050 )</w:t>
            </w:r>
          </w:p>
        </w:tc>
        <w:tc>
          <w:tcPr>
            <w:tcW w:w="3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6,475,393</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5" w:lineRule="exact"/>
        <w:rPr>
          <w:sz w:val="20"/>
          <w:szCs w:val="20"/>
          <w:color w:val="auto"/>
        </w:rPr>
      </w:pPr>
    </w:p>
    <w:p>
      <w:pPr>
        <w:sectPr>
          <w:pgSz w:w="11900" w:h="16838" w:orient="portrait"/>
          <w:cols w:equalWidth="0" w:num="2">
            <w:col w:w="5740" w:space="380"/>
            <w:col w:w="5120"/>
          </w:cols>
          <w:pgMar w:left="320" w:top="431" w:right="339" w:bottom="1440" w:gutter="0" w:footer="0" w:header="0"/>
        </w:sectPr>
      </w:pPr>
    </w:p>
    <w:p>
      <w:pPr>
        <w:ind w:firstLine="509"/>
        <w:spacing w:after="0" w:line="254" w:lineRule="auto"/>
        <w:rPr>
          <w:sz w:val="20"/>
          <w:szCs w:val="20"/>
          <w:color w:val="auto"/>
        </w:rPr>
      </w:pPr>
      <w:r>
        <w:rPr>
          <w:rFonts w:ascii="Times New Roman" w:cs="Times New Roman" w:eastAsia="Times New Roman" w:hAnsi="Times New Roman"/>
          <w:sz w:val="17"/>
          <w:szCs w:val="17"/>
          <w:color w:val="auto"/>
        </w:rPr>
        <w:t>In August 2021, the Company’s board of directors adopted, and its stockholders approved, the 2021 Employee Stock Purchase Plan (the "ESPP"), which became effective in connection with the Direct Listing. The ESPP authorizes the issuance of shares of common stock pursuant to purchase rights granted to employees. A total of 2,663,371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The initial offering period under the ESPP will be longer than 12 months, commencing on September 28, 2021 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first purchase period on May 14, 2022, the initial offering period was terminated and participants were automatically enrolled in a new</w:t>
      </w:r>
    </w:p>
    <w:p>
      <w:pPr>
        <w:spacing w:after="0" w:line="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12-month offering period commencing on May 15, 2022 and ending on May 14, 2023. The impact of the rollover feature did not result in any incremental compensation cost for the three or six months ended June 30, 2022.</w:t>
      </w:r>
    </w:p>
    <w:p>
      <w:pPr>
        <w:spacing w:after="0" w:line="88"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As of June 30, 2022, 0.2 million shares have been purchased under the ESPP. During the six months ended June 30, 2022, the Company recognized $3.0 million of stock-based compensation expense related to the ESPP and withheld $3.8 million in contributions from employees. As of June 30, 2022, total unrecognized compensation costs related to the ESPP was $4.2 million, which will be amortized over a weighted average period of 0.87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condensed consolidated statement of operations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6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r>
      <w:tr>
        <w:trPr>
          <w:trHeight w:val="249"/>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3,019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had an effective tax rate of (1.1)% and (1.3)% for the three and six months ended June 30, 2022, respectively, and (3.8)% and (4.1)% for the three and six months ended June 30, 2021, respectively. The Company continues to incur U.S. operating losses and has minimal profits in its foreign jurisdictions.</w:t>
      </w:r>
    </w:p>
    <w:p>
      <w:pPr>
        <w:spacing w:after="0" w:line="168" w:lineRule="exact"/>
        <w:rPr>
          <w:sz w:val="20"/>
          <w:szCs w:val="20"/>
          <w:color w:val="auto"/>
        </w:rPr>
      </w:pPr>
    </w:p>
    <w:p>
      <w:pPr>
        <w:jc w:val="both"/>
        <w:ind w:right="4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in the United States. Due 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8" w:name="page19"/>
    <w:bookmarkEnd w:id="18"/>
    <w:p>
      <w:pPr>
        <w:ind w:right="60"/>
        <w:spacing w:after="0" w:line="281" w:lineRule="auto"/>
        <w:rPr>
          <w:sz w:val="20"/>
          <w:szCs w:val="20"/>
          <w:color w:val="auto"/>
        </w:rPr>
      </w:pPr>
      <w:r>
        <w:rPr>
          <w:rFonts w:ascii="Times New Roman" w:cs="Times New Roman" w:eastAsia="Times New Roman" w:hAnsi="Times New Roman"/>
          <w:sz w:val="18"/>
          <w:szCs w:val="18"/>
          <w:color w:val="auto"/>
        </w:rPr>
        <w:t>uncertainties surrounding the realization of the deferred tax assets, the Company continues to maintain a full valuation allowance against its net deferred tax assets within the United States.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 except years and rate):</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right"/>
              <w:ind w:right="740"/>
              <w:spacing w:after="0" w:line="189" w:lineRule="exact"/>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14"/>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4"/>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(years)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of June 30, 2022</w:t>
            </w:r>
          </w:p>
        </w:tc>
        <w:tc>
          <w:tcPr>
            <w:tcW w:w="0" w:type="dxa"/>
            <w:vAlign w:val="bottom"/>
          </w:tcPr>
          <w:p>
            <w:pPr>
              <w:spacing w:after="0"/>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80" w:type="dxa"/>
            <w:vAlign w:val="bottom"/>
          </w:tcPr>
          <w:p>
            <w:pPr>
              <w:spacing w:after="0"/>
              <w:rPr>
                <w:sz w:val="20"/>
                <w:szCs w:val="20"/>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00" w:type="dxa"/>
            <w:vAlign w:val="bottom"/>
          </w:tcPr>
          <w:p>
            <w:pPr>
              <w:spacing w:after="0"/>
              <w:rPr>
                <w:sz w:val="24"/>
                <w:szCs w:val="24"/>
                <w:color w:val="auto"/>
              </w:rPr>
            </w:pPr>
          </w:p>
        </w:tc>
        <w:tc>
          <w:tcPr>
            <w:tcW w:w="11000" w:type="dxa"/>
            <w:vAlign w:val="bottom"/>
            <w:gridSpan w:val="12"/>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w:t>
            </w:r>
          </w:p>
        </w:tc>
        <w:tc>
          <w:tcPr>
            <w:tcW w:w="0" w:type="dxa"/>
            <w:vAlign w:val="bottom"/>
          </w:tcPr>
          <w:p>
            <w:pPr>
              <w:spacing w:after="0"/>
              <w:rPr>
                <w:sz w:val="1"/>
                <w:szCs w:val="1"/>
                <w:color w:val="auto"/>
              </w:rPr>
            </w:pPr>
          </w:p>
        </w:tc>
      </w:tr>
      <w:tr>
        <w:trPr>
          <w:trHeight w:val="23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as of June 30, 2022 are as follows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tcPr>
          <w:p>
            <w:pPr>
              <w:spacing w:after="0"/>
              <w:rPr>
                <w:sz w:val="18"/>
                <w:szCs w:val="18"/>
                <w:color w:val="auto"/>
              </w:rPr>
            </w:pP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2026 and thereafter</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FF0FC"/>
          </w:tcPr>
          <w:p>
            <w:pPr>
              <w:spacing w:after="0"/>
              <w:rPr>
                <w:sz w:val="18"/>
                <w:szCs w:val="18"/>
                <w:color w:val="auto"/>
              </w:rPr>
            </w:pPr>
          </w:p>
        </w:tc>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Borders>
              <w:bottom w:val="single" w:sz="8" w:color="CFF0FC"/>
            </w:tcBorders>
            <w:shd w:val="clear" w:color="auto" w:fill="CFF0FC"/>
          </w:tcPr>
          <w:p>
            <w:pPr>
              <w:spacing w:after="0"/>
              <w:rPr>
                <w:sz w:val="21"/>
                <w:szCs w:val="21"/>
                <w:color w:val="auto"/>
              </w:rPr>
            </w:pPr>
          </w:p>
        </w:tc>
        <w:tc>
          <w:tcPr>
            <w:tcW w:w="7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-3595370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-3578225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-3578225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-3021965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non-cancellable operating leases consisted of the following as of December 31, 2021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 and 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r>
      <w:tr>
        <w:trPr>
          <w:trHeight w:val="249"/>
        </w:trPr>
        <w:tc>
          <w:tcPr>
            <w:tcW w:w="9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six months ended June 30, 2021, rent expense was $1.0 million and $2.1 million, respectively.</w:t>
      </w: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19" w:name="page20"/>
    <w:bookmarkEnd w:id="19"/>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07"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19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8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and Class B common stockholders</w:t>
            </w:r>
          </w:p>
        </w:tc>
        <w:tc>
          <w:tcPr>
            <w:tcW w:w="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(24,568 )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(46,788 )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(16,522 )</w:t>
            </w: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attributable to Class A and Class B common stockholders,</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111,036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110,297</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160" w:type="dxa"/>
            <w:vAlign w:val="bottom"/>
            <w:shd w:val="clear" w:color="auto" w:fill="CFF0FC"/>
          </w:tcPr>
          <w:p>
            <w:pPr>
              <w:ind w:left="200"/>
              <w:spacing w:after="0" w:line="164"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48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(0.22 )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(0.34 )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(0.42 )</w:t>
            </w:r>
          </w:p>
        </w:tc>
        <w:tc>
          <w:tcPr>
            <w:tcW w:w="40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(0.57 )</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ind w:left="340"/>
              <w:spacing w:after="0" w:line="194" w:lineRule="exact"/>
              <w:rPr>
                <w:sz w:val="20"/>
                <w:szCs w:val="20"/>
                <w:color w:val="auto"/>
              </w:rPr>
            </w:pPr>
            <w:r>
              <w:rPr>
                <w:rFonts w:ascii="Times New Roman" w:cs="Times New Roman" w:eastAsia="Times New Roman" w:hAnsi="Times New Roman"/>
                <w:sz w:val="18"/>
                <w:szCs w:val="18"/>
                <w:color w:val="auto"/>
              </w:rPr>
              <w:t>common stockholders, basic and diluted</w:t>
            </w:r>
          </w:p>
        </w:tc>
        <w:tc>
          <w:tcPr>
            <w:tcW w:w="4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60" w:type="dxa"/>
            <w:vAlign w:val="bottom"/>
          </w:tcPr>
          <w:p>
            <w:pPr>
              <w:spacing w:after="0"/>
              <w:rPr>
                <w:sz w:val="24"/>
                <w:szCs w:val="24"/>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-444500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-427355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-444500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-427355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-444500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-427355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0" w:name="page21"/>
    <w:bookmarkEnd w:id="20"/>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following potential common shares were excluded from the calculation of diluted net loss per share because their effect would have been anti-dilutive for the periods presented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vMerge w:val="restart"/>
          </w:tcPr>
          <w:p>
            <w:pPr>
              <w:spacing w:after="0"/>
              <w:rPr>
                <w:sz w:val="20"/>
                <w:szCs w:val="20"/>
                <w:color w:val="auto"/>
              </w:rPr>
            </w:pPr>
          </w:p>
        </w:tc>
        <w:tc>
          <w:tcPr>
            <w:tcW w:w="16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74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gridSpan w:val="2"/>
          </w:tcPr>
          <w:p>
            <w:pPr>
              <w:spacing w:after="0"/>
              <w:rPr>
                <w:sz w:val="18"/>
                <w:szCs w:val="18"/>
                <w:color w:val="auto"/>
              </w:rPr>
            </w:pPr>
          </w:p>
        </w:tc>
        <w:tc>
          <w:tcPr>
            <w:tcW w:w="1800" w:type="dxa"/>
            <w:vAlign w:val="bottom"/>
            <w:gridSpan w:val="3"/>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800" w:type="dxa"/>
            <w:vAlign w:val="bottom"/>
            <w:gridSpan w:val="3"/>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Non-plan stock options</w:t>
            </w:r>
          </w:p>
        </w:tc>
        <w:tc>
          <w:tcPr>
            <w:tcW w:w="1800" w:type="dxa"/>
            <w:vAlign w:val="bottom"/>
            <w:gridSpan w:val="3"/>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plan stock options early exercised</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July 2022, the Company granted 0.7 million stock options and RSUs representing 1.3 million shares of Class A common stock to certain of its employees with service-based vesting conditions. The service-based vesting condition for these awards is satisfied over five years for the options granted and three years for the majority of the RSUs granted. The grant date fair value of the stock options and RSUs granted in July 2022 was approximately $9.9 million and $18.9 million, respectively.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2021 (the "2021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4" w:lineRule="exact"/>
        <w:rPr>
          <w:sz w:val="20"/>
          <w:szCs w:val="20"/>
          <w:color w:val="auto"/>
        </w:rPr>
      </w:pPr>
    </w:p>
    <w:p>
      <w:pPr>
        <w:ind w:right="5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have built the first unified system that empowers teams to understand how digital products drive their business, thereby unleashing the full potential of product-led growth for businesses of every size, industry, and stage in their digital maturity. Our Digital Optimization System brings an entirely new depth of customer understanding with the speed of action to optimize digital experiences in the moment. We power the teams behind many of the most-beloved digital products to make the right bets, drive innovation, and maximize business outcomes.</w:t>
      </w:r>
    </w:p>
    <w:p>
      <w:pPr>
        <w:spacing w:after="0" w:line="17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At the core of our Digital Optimization System is our Behavioral Graph, a proprietary, purpose-built behavioral database that is the largest of its kind. Our Behavioral Graph instantly finds patterns, makes recommendations, and connects customer actions along their journeys to outcomes that drive engagement, growth, and loyalty. We have architected our Behavioral Graph to power numerous products linking data to insight to action, beginning first with our product analytics solution. G2 ranked Amplitude as the #3 best software product overall and #5 best enterprise product in their 2022 Best Software Awards. The G2 Summer 2022 Report also ranked Amplitude as the #1 product analytics solution for the eighth quarter in a row, #1 in mobile analytics for the third quarter in a row, and #3 in digital analytics for the sixth quarter in a row. We have since expanded our Digital Optimization System to include products that enable cross-functional teams to personalize the digital product experiences of their customers, including our Recommend and Experiment offerings, which were both released in 2021.</w:t>
      </w:r>
    </w:p>
    <w:p>
      <w:pPr>
        <w:spacing w:after="0" w:line="18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have experienced significant growth in recent years driven by the rapid adoption of our Digital Optimization System by our diversified base of more than 1,800 paying customers globally. Our customers span across industries and sizes, from the leading digital innovators to those looking to transform and adapt their business in the new digital age.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0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07"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Digital Optimization System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2021, we had 1,836 and 1,280 paying customers, respectively, representing an increase of 43% year-over-year. Our relationship with some of the world’s most beloved product-led companies has resulted in increased brand credibility and access to many attractive growth opportunities.</w:t>
      </w:r>
    </w:p>
    <w:p>
      <w:pPr>
        <w:spacing w:after="0" w:line="189"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have been successful at efficiently growing our customer spend over time as evidenced by our dollar-based net retention rates. As of June 30, 2022 and 2021, our dollar-based net retention rate was 126% and 119%, respectively, for paying customers. We continue to increase the number of customers who have entered and grown into larger subscriptions with us.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2020, we acquired ClearBrain to bolster our predictive analytics capabilities, and in 2021, we acquired Iteratively, a software company that bolsters our ability to empower developers to 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0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98"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8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six months ended June 30, 2022, 39% and 38% of our revenue was generated outside the United States, respectively. As we seek to expand our business globally, we may be adversely affected by global economic and political instability. For example, as a result of the Russia-Ukraine conflict, we terminated certain relationships with customers in Russia and some of the businesses of our customers in the impacted regions have experienced disruptions that have affected their ability to pay for our services. See "Risk Factors– Risks Related to Our Business and Industry–Our operations are international in scope, and we plan further geographical expansion, creating a variety of operational challenges."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80" w:firstLine="509"/>
        <w:spacing w:after="0" w:line="250"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YoY Growth</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Paying Customers</w:t>
            </w:r>
          </w:p>
        </w:tc>
        <w:tc>
          <w:tcPr>
            <w:tcW w:w="1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8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80" w:type="dxa"/>
            <w:vAlign w:val="bottom"/>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126 %</w:t>
            </w:r>
          </w:p>
        </w:tc>
        <w:tc>
          <w:tcPr>
            <w:tcW w:w="13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119 %</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0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7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07"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Annual Recurring Revenue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 We define ARR as the annual recurring revenue of subscription agreements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not intended to be a replacement for or forecast of revenue.</w:t>
      </w:r>
    </w:p>
    <w:p>
      <w:pPr>
        <w:spacing w:after="0" w:line="1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10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has resulted in favorable trends for our business and the businesses of those customers who have been able to leverage digital optimization of their products as sales increasingly shifted online.</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7"/>
          <w:szCs w:val="17"/>
          <w:color w:val="auto"/>
        </w:rPr>
        <w:t>Although we believe the COVID-19 pandemic has largely resulted in favorable trends for our business to date, we have experienced business disruptions, including requiring us to manage a significant majority of our workforce remotely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4" w:name="page25"/>
    <w:bookmarkEnd w:id="24"/>
    <w:p>
      <w:pPr>
        <w:ind w:right="200"/>
        <w:spacing w:after="0" w:line="281" w:lineRule="auto"/>
        <w:rPr>
          <w:sz w:val="20"/>
          <w:szCs w:val="20"/>
          <w:color w:val="auto"/>
        </w:rPr>
      </w:pPr>
      <w:r>
        <w:rPr>
          <w:rFonts w:ascii="Times New Roman" w:cs="Times New Roman" w:eastAsia="Times New Roman" w:hAnsi="Times New Roman"/>
          <w:sz w:val="18"/>
          <w:szCs w:val="18"/>
          <w:color w:val="auto"/>
        </w:rPr>
        <w:t>See “Risk Factors” included under Part II, Item 1A of this Quarterly Report on Form 10-Q for further discussion of the impact of the COVID-19 pandemic on our business.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7"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2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81,646</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1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2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w:t>
            </w:r>
          </w:p>
        </w:tc>
        <w:tc>
          <w:tcPr>
            <w:tcW w:w="36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73 %</w:t>
            </w:r>
          </w:p>
        </w:tc>
        <w:tc>
          <w:tcPr>
            <w:tcW w:w="36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224"/>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(24,583 )</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(9,747 )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(46,574 )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(15,896 )</w:t>
            </w:r>
          </w:p>
        </w:tc>
        <w:tc>
          <w:tcPr>
            <w:tcW w:w="100" w:type="dxa"/>
            <w:vAlign w:val="bottom"/>
          </w:tcPr>
          <w:p>
            <w:pPr>
              <w:spacing w:after="0"/>
              <w:rPr>
                <w:sz w:val="19"/>
                <w:szCs w:val="19"/>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(8,999 )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(16,725 )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(7,392 )</w:t>
            </w:r>
          </w:p>
        </w:tc>
        <w:tc>
          <w:tcPr>
            <w:tcW w:w="100" w:type="dxa"/>
            <w:vAlign w:val="bottom"/>
          </w:tcPr>
          <w:p>
            <w:pPr>
              <w:spacing w:after="0"/>
              <w:rPr>
                <w:sz w:val="20"/>
                <w:szCs w:val="20"/>
                <w:color w:val="auto"/>
              </w:rPr>
            </w:pPr>
          </w:p>
        </w:tc>
      </w:tr>
      <w:tr>
        <w:trPr>
          <w:trHeight w:val="45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30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(42 )%</w:t>
            </w:r>
          </w:p>
        </w:tc>
        <w:tc>
          <w:tcPr>
            <w:tcW w:w="1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2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 Margin</w:t>
            </w:r>
          </w:p>
        </w:tc>
        <w:tc>
          <w:tcPr>
            <w:tcW w:w="3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4"/>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(5,061 )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(5,523 )</w:t>
            </w:r>
          </w:p>
        </w:tc>
        <w:tc>
          <w:tcPr>
            <w:tcW w:w="100" w:type="dxa"/>
            <w:vAlign w:val="bottom"/>
          </w:tcPr>
          <w:p>
            <w:pPr>
              <w:spacing w:after="0"/>
              <w:rPr>
                <w:sz w:val="19"/>
                <w:szCs w:val="19"/>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(6,909 )</w:t>
            </w:r>
          </w:p>
        </w:tc>
        <w:tc>
          <w:tcPr>
            <w:tcW w:w="100" w:type="dxa"/>
            <w:vAlign w:val="bottom"/>
          </w:tcPr>
          <w:p>
            <w:pPr>
              <w:spacing w:after="0"/>
              <w:rPr>
                <w:sz w:val="20"/>
                <w:szCs w:val="20"/>
                <w:color w:val="auto"/>
              </w:rPr>
            </w:pPr>
          </w:p>
        </w:tc>
      </w:tr>
      <w:tr>
        <w:trPr>
          <w:trHeight w:val="45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0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18 %</w:t>
            </w:r>
          </w:p>
        </w:tc>
        <w:tc>
          <w:tcPr>
            <w:tcW w:w="1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-2040255</wp:posOffset>
            </wp:positionV>
            <wp:extent cx="713232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-1167130</wp:posOffset>
            </wp:positionV>
            <wp:extent cx="7132320"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Loss from Operations, and Non-GAAP Loss from Operations Margin</w:t>
      </w:r>
    </w:p>
    <w:p>
      <w:pPr>
        <w:spacing w:after="0" w:line="121"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Direct Listing costs. Non-GAAP gross margin is calculated as non-GAAP gross profit divided by total revenue.</w:t>
      </w:r>
    </w:p>
    <w:p>
      <w:pPr>
        <w:spacing w:after="0" w:line="17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such as Direct Listing costs. Non-GAAP loss from operations margin is calculated as non-GAAP loss from operations divided by total revenue.</w:t>
      </w:r>
    </w:p>
    <w:p>
      <w:pPr>
        <w:spacing w:after="0" w:line="189"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25" w:name="page26"/>
    <w:bookmarkEnd w:id="25"/>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07"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4600" w:type="dxa"/>
            <w:vAlign w:val="bottom"/>
          </w:tcPr>
          <w:p>
            <w:pPr>
              <w:ind w:left="460"/>
              <w:spacing w:after="0" w:line="177" w:lineRule="exact"/>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8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Pr>
          <w:p>
            <w:pPr>
              <w:spacing w:after="0"/>
              <w:rPr>
                <w:sz w:val="24"/>
                <w:szCs w:val="24"/>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0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3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4" w:lineRule="exact"/>
        <w:rPr>
          <w:sz w:val="20"/>
          <w:szCs w:val="20"/>
          <w:color w:val="auto"/>
        </w:rPr>
      </w:pPr>
    </w:p>
    <w:p>
      <w:pPr>
        <w:ind w:left="500" w:hanging="37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 and Loss From Operations Margin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(24,583 )</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(9,747 )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(46,574 )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(15,896 )</w:t>
            </w:r>
          </w:p>
        </w:tc>
        <w:tc>
          <w:tcPr>
            <w:tcW w:w="100" w:type="dxa"/>
            <w:vAlign w:val="bottom"/>
          </w:tcPr>
          <w:p>
            <w:pPr>
              <w:spacing w:after="0"/>
              <w:rPr>
                <w:sz w:val="19"/>
                <w:szCs w:val="19"/>
                <w:color w:val="auto"/>
              </w:rPr>
            </w:pPr>
          </w:p>
        </w:tc>
      </w:tr>
      <w:tr>
        <w:trPr>
          <w:trHeight w:val="229"/>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listing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(8,999 )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(16,725 )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(7,392 )</w:t>
            </w:r>
          </w:p>
        </w:tc>
        <w:tc>
          <w:tcPr>
            <w:tcW w:w="10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 Margin</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526"/>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26" w:name="page27"/>
    <w:bookmarkEnd w:id="26"/>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225425</wp:posOffset>
            </wp:positionH>
            <wp:positionV relativeFrom="page">
              <wp:posOffset>320040</wp:posOffset>
            </wp:positionV>
            <wp:extent cx="9334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3450" cy="8255"/>
                    </a:xfrm>
                    <a:prstGeom prst="rect">
                      <a:avLst/>
                    </a:prstGeom>
                    <a:noFill/>
                  </pic:spPr>
                </pic:pic>
              </a:graphicData>
            </a:graphic>
          </wp:anchor>
        </w:drawing>
        <w:t>Stock-based compensation expense-related charges include employer payroll tax-related expenses on employee stock transactions.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4560" w:type="dxa"/>
            <w:vAlign w:val="bottom"/>
          </w:tcPr>
          <w:p>
            <w:pPr>
              <w:spacing w:after="0"/>
              <w:rPr>
                <w:sz w:val="24"/>
                <w:szCs w:val="24"/>
                <w:color w:val="auto"/>
              </w:rPr>
            </w:pPr>
          </w:p>
        </w:tc>
        <w:tc>
          <w:tcPr>
            <w:tcW w:w="26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23"/>
        </w:trPr>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(2,481 )</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(3,788 )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177,295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179,313</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(5,061 )</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(5,523 )</w:t>
            </w:r>
          </w:p>
        </w:tc>
      </w:tr>
      <w:tr>
        <w:trPr>
          <w:trHeight w:val="229"/>
        </w:trPr>
        <w:tc>
          <w:tcPr>
            <w:tcW w:w="4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(1,812 )</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(2,525 )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(655 )</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(669 )</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(1,263 )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(731 )</w:t>
            </w: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(5,816 )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(1,435 )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(6,909 )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1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14 %</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(15 )%</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7"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7"/>
          <w:szCs w:val="17"/>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w:t>
      </w:r>
    </w:p>
    <w:p>
      <w:pPr>
        <w:spacing w:after="0"/>
        <w:rPr>
          <w:sz w:val="20"/>
          <w:szCs w:val="20"/>
          <w:color w:val="auto"/>
        </w:rPr>
      </w:pPr>
      <w:r>
        <w:rPr>
          <w:rFonts w:ascii="Times New Roman" w:cs="Times New Roman" w:eastAsia="Times New Roman" w:hAnsi="Times New Roman"/>
          <w:sz w:val="18"/>
          <w:szCs w:val="18"/>
          <w:color w:val="auto"/>
        </w:rPr>
        <w:t>We recognize professional services revenue as services are delivered.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Cost of revenue consists primarily of the cost of providing our platform to our customers and consists of third-party hosting fees, personnel-related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7" w:lineRule="exact"/>
        <w:rPr>
          <w:sz w:val="20"/>
          <w:szCs w:val="20"/>
          <w:color w:val="auto"/>
        </w:rPr>
      </w:pPr>
    </w:p>
    <w:p>
      <w:pPr>
        <w:jc w:val="both"/>
        <w:ind w:right="240" w:firstLine="509"/>
        <w:spacing w:after="0" w:line="269" w:lineRule="auto"/>
        <w:rPr>
          <w:sz w:val="20"/>
          <w:szCs w:val="20"/>
          <w:color w:val="auto"/>
        </w:rPr>
      </w:pPr>
      <w:r>
        <w:rPr>
          <w:rFonts w:ascii="Times New Roman" w:cs="Times New Roman" w:eastAsia="Times New Roman" w:hAnsi="Times New Roman"/>
          <w:sz w:val="17"/>
          <w:szCs w:val="17"/>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7"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We also anticipate additional stock-based compensation expense in future periods due to planned increases in headcount and associated new hire grants.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 We also anticipate additional stock-based compensation expense in future periods due to planned increases in headcount and associated new hire grants.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 We also anticipate additional stock-based compensation expense in future periods due to planned increases in headcount and associated new hire grants.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on our cash holdings offset by foreign currency transaction gains and losses.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$415.8 million and tax credit carryforwards of $5.4 million, net of reserves as of December 31, 2021,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45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58,130</w:t>
            </w:r>
          </w:p>
        </w:tc>
        <w:tc>
          <w:tcPr>
            <w:tcW w:w="300" w:type="dxa"/>
            <w:vAlign w:val="bottom"/>
          </w:tcPr>
          <w:p>
            <w:pPr>
              <w:spacing w:after="0"/>
              <w:rPr>
                <w:sz w:val="14"/>
                <w:szCs w:val="14"/>
                <w:color w:val="auto"/>
              </w:rPr>
            </w:pPr>
          </w:p>
        </w:tc>
        <w:tc>
          <w:tcPr>
            <w:tcW w:w="1020" w:type="dxa"/>
            <w:vAlign w:val="bottom"/>
          </w:tcPr>
          <w:p>
            <w:pPr>
              <w:jc w:val="right"/>
              <w:ind w:right="83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39,254</w:t>
            </w:r>
          </w:p>
        </w:tc>
        <w:tc>
          <w:tcPr>
            <w:tcW w:w="280" w:type="dxa"/>
            <w:vAlign w:val="bottom"/>
          </w:tcPr>
          <w:p>
            <w:pPr>
              <w:spacing w:after="0"/>
              <w:rPr>
                <w:sz w:val="14"/>
                <w:szCs w:val="14"/>
                <w:color w:val="auto"/>
              </w:rPr>
            </w:pPr>
          </w:p>
        </w:tc>
        <w:tc>
          <w:tcPr>
            <w:tcW w:w="380" w:type="dxa"/>
            <w:vAlign w:val="bottom"/>
          </w:tcPr>
          <w:p>
            <w:pPr>
              <w:jc w:val="right"/>
              <w:ind w:right="19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111,195</w:t>
            </w:r>
          </w:p>
        </w:tc>
        <w:tc>
          <w:tcPr>
            <w:tcW w:w="260" w:type="dxa"/>
            <w:vAlign w:val="bottom"/>
          </w:tcPr>
          <w:p>
            <w:pPr>
              <w:spacing w:after="0"/>
              <w:rPr>
                <w:sz w:val="14"/>
                <w:szCs w:val="14"/>
                <w:color w:val="auto"/>
              </w:rPr>
            </w:pPr>
          </w:p>
        </w:tc>
        <w:tc>
          <w:tcPr>
            <w:tcW w:w="400" w:type="dxa"/>
            <w:vAlign w:val="bottom"/>
          </w:tcPr>
          <w:p>
            <w:pPr>
              <w:jc w:val="right"/>
              <w:ind w:right="2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72,364</w:t>
            </w:r>
          </w:p>
        </w:tc>
        <w:tc>
          <w:tcPr>
            <w:tcW w:w="100" w:type="dxa"/>
            <w:vAlign w:val="bottom"/>
          </w:tcPr>
          <w:p>
            <w:pPr>
              <w:spacing w:after="0"/>
              <w:rPr>
                <w:sz w:val="14"/>
                <w:szCs w:val="14"/>
                <w:color w:val="auto"/>
              </w:rPr>
            </w:pPr>
          </w:p>
        </w:tc>
      </w:tr>
      <w:tr>
        <w:trPr>
          <w:trHeight w:val="268"/>
        </w:trPr>
        <w:tc>
          <w:tcPr>
            <w:tcW w:w="45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0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33,123</w:t>
            </w:r>
          </w:p>
        </w:tc>
        <w:tc>
          <w:tcPr>
            <w:tcW w:w="2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tcPr>
          <w:p>
            <w:pPr>
              <w:spacing w:after="0"/>
              <w:rPr>
                <w:sz w:val="23"/>
                <w:szCs w:val="23"/>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7"/>
        </w:trPr>
        <w:tc>
          <w:tcPr>
            <w:tcW w:w="454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5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00" w:type="dxa"/>
            <w:vAlign w:val="bottom"/>
          </w:tcPr>
          <w:p>
            <w:pPr>
              <w:spacing w:after="0"/>
              <w:rPr>
                <w:sz w:val="18"/>
                <w:szCs w:val="18"/>
                <w:color w:val="auto"/>
              </w:rPr>
            </w:pPr>
          </w:p>
        </w:tc>
      </w:tr>
      <w:tr>
        <w:trPr>
          <w:trHeight w:val="216"/>
        </w:trPr>
        <w:tc>
          <w:tcPr>
            <w:tcW w:w="45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100" w:type="dxa"/>
            <w:vAlign w:val="bottom"/>
          </w:tcPr>
          <w:p>
            <w:pPr>
              <w:spacing w:after="0"/>
              <w:rPr>
                <w:sz w:val="18"/>
                <w:szCs w:val="18"/>
                <w:color w:val="auto"/>
              </w:rPr>
            </w:pPr>
          </w:p>
        </w:tc>
      </w:tr>
      <w:tr>
        <w:trPr>
          <w:trHeight w:val="268"/>
        </w:trPr>
        <w:tc>
          <w:tcPr>
            <w:tcW w:w="454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30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Pr>
          <w:p>
            <w:pPr>
              <w:spacing w:after="0"/>
              <w:rPr>
                <w:sz w:val="23"/>
                <w:szCs w:val="23"/>
                <w:color w:val="auto"/>
              </w:rPr>
            </w:pPr>
          </w:p>
        </w:tc>
      </w:tr>
      <w:tr>
        <w:trPr>
          <w:trHeight w:val="209"/>
        </w:trPr>
        <w:tc>
          <w:tcPr>
            <w:tcW w:w="4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65,653</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124,646</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65,870</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(24,583</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-1831975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-1412240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-1412240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-1412240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9"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806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7"/>
                <w:szCs w:val="17"/>
                <w:color w:val="auto"/>
              </w:rPr>
            </w:pPr>
          </w:p>
        </w:tc>
      </w:tr>
      <w:tr>
        <w:trPr>
          <w:trHeight w:val="238"/>
        </w:trPr>
        <w:tc>
          <w:tcPr>
            <w:tcW w:w="4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23"/>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38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9"/>
                <w:szCs w:val="19"/>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data, for each of the periods presented, as a percentage of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8"/>
                <w:szCs w:val="18"/>
                <w:color w:val="auto"/>
              </w:rPr>
            </w:pP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9"/>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tcBorders>
              <w:top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29%</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6"/>
              </w:rPr>
              <w:t>31%</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30%</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4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top w:val="single" w:sz="8" w:color="auto"/>
              <w:bottom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35%</w:t>
            </w:r>
          </w:p>
        </w:tc>
        <w:tc>
          <w:tcPr>
            <w:tcW w:w="2220" w:type="dxa"/>
            <w:vAlign w:val="bottom"/>
            <w:gridSpan w:val="3"/>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22%</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33%</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59%</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6"/>
              </w:rPr>
              <w:t>51%</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56%</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4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113%</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6"/>
              </w:rPr>
              <w:t>94%</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112%</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Borders>
              <w:top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w:t>
            </w:r>
          </w:p>
        </w:tc>
      </w:tr>
      <w:tr>
        <w:trPr>
          <w:trHeight w:val="164"/>
        </w:trPr>
        <w:tc>
          <w:tcPr>
            <w:tcW w:w="4620" w:type="dxa"/>
            <w:vAlign w:val="bottom"/>
            <w:gridSpan w:val="2"/>
            <w:shd w:val="clear" w:color="auto" w:fill="CFF0FC"/>
          </w:tcPr>
          <w:p>
            <w:pPr>
              <w:ind w:left="300"/>
              <w:spacing w:after="0" w:line="164" w:lineRule="exact"/>
              <w:rPr>
                <w:sz w:val="20"/>
                <w:szCs w:val="20"/>
                <w:color w:val="auto"/>
              </w:rPr>
            </w:pPr>
            <w:r>
              <w:rPr>
                <w:rFonts w:ascii="Times New Roman" w:cs="Times New Roman" w:eastAsia="Times New Roman" w:hAnsi="Times New Roman"/>
                <w:sz w:val="18"/>
                <w:szCs w:val="18"/>
                <w:color w:val="auto"/>
              </w:rPr>
              <w:t>Loss before provision for income</w:t>
            </w:r>
          </w:p>
        </w:tc>
        <w:tc>
          <w:tcPr>
            <w:tcW w:w="116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r>
      <w:tr>
        <w:trPr>
          <w:trHeight w:val="234"/>
        </w:trPr>
        <w:tc>
          <w:tcPr>
            <w:tcW w:w="4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(42)%</w:t>
            </w:r>
          </w:p>
        </w:tc>
        <w:tc>
          <w:tcPr>
            <w:tcW w:w="2220" w:type="dxa"/>
            <w:vAlign w:val="bottom"/>
            <w:gridSpan w:val="3"/>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7"/>
              </w:rPr>
              <w:t>(25)%</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(42)%</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w:t>
            </w: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w:t>
            </w:r>
          </w:p>
        </w:tc>
        <w:tc>
          <w:tcPr>
            <w:tcW w:w="20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1%</w:t>
            </w:r>
          </w:p>
        </w:tc>
      </w:tr>
      <w:tr>
        <w:trPr>
          <w:trHeight w:val="209"/>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162"/>
        </w:trPr>
        <w:tc>
          <w:tcPr>
            <w:tcW w:w="376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-1643380</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-1643380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-1643380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-1086485</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-1086485</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-1086485</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338" w:lineRule="exact"/>
        <w:rPr>
          <w:sz w:val="20"/>
          <w:szCs w:val="20"/>
          <w:color w:val="auto"/>
        </w:rPr>
      </w:pPr>
    </w:p>
    <w:p>
      <w:pPr>
        <w:ind w:right="4520"/>
        <w:spacing w:after="0" w:line="3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Months Ended June 30, 2022 to Three Months Ended June 30, 2021 </w:t>
      </w:r>
      <w:r>
        <w:rPr>
          <w:rFonts w:ascii="Times New Roman" w:cs="Times New Roman" w:eastAsia="Times New Roman" w:hAnsi="Times New Roman"/>
          <w:sz w:val="18"/>
          <w:szCs w:val="18"/>
          <w:i w:val="1"/>
          <w:iCs w:val="1"/>
          <w:color w:val="auto"/>
        </w:rPr>
        <w:t>Revenue</w:t>
      </w:r>
    </w:p>
    <w:p>
      <w:pPr>
        <w:spacing w:after="0" w:line="39"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except percentages)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174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r>
    </w:tbl>
    <w:p>
      <w:pPr>
        <w:spacing w:after="0" w:line="224"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Revenue increased $18.9 million, or 48%, during the three months ended June 30, 2022 compared to the three months ended June 30, 2021. The increase in revenue was primarily due to growth of our paying customer base of 43% and revenue generated from our existing paying customers as reflected by our dollar-based net retention of 126% as of June 30, 2022.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except percentages)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7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71 %</w:t>
            </w:r>
          </w:p>
        </w:tc>
        <w:tc>
          <w:tcPr>
            <w:tcW w:w="24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69 %</w:t>
            </w:r>
          </w:p>
        </w:tc>
        <w:tc>
          <w:tcPr>
            <w:tcW w:w="240" w:type="dxa"/>
            <w:vAlign w:val="bottom"/>
          </w:tcPr>
          <w:p>
            <w:pPr>
              <w:spacing w:after="0"/>
              <w:rPr>
                <w:sz w:val="20"/>
                <w:szCs w:val="20"/>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Cost of revenue increased $4.9 million, or 41%, during the three months ended June 30, 2022 compared to the three months ended June 30, 2021. The increase was primarily due to an increase of $2.6 million in personnel and related expenses directly associated with an increase in headcount, including an increase in allocated overhead costs, and $2.2 million in third-party hosting costs as we increased capacity to support paying customer usage and growth of our paying customer base.</w:t>
      </w:r>
    </w:p>
    <w:p>
      <w:pPr>
        <w:spacing w:after="0" w:line="176"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Our gross margin increased during the three months ended June 30, 2022 compared to the three months ended June 30, 2021 mainly due to a decrease in our third-party hosting costs as a percentage of revenue.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except percentages)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7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138%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7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74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65,653</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36,866</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17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-153670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-153670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-153670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increased $11.8 million, or 138%, during the three months ended June 30, 2022 compared to the three months ended June 30, 2021. The increase was primarily due to an increase of $6.3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This increase was also attributable to $4.8 million in personnel and related expenses directly associated with an increase in headcount, including an increase in allocated overhead costs.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Sales and marketing expenses increased $14.1 million, or 70%, during the three months ended June 30, 2022 compared to the three months ended June 30, 2021. The increase was primarily due to an increase of $6.8 million in personnel and related expenses directly associated with an increase in headcount, including an increase in allocated overhead costs. This increase was also attributable to an increase of $4.2 million related to expenses to support our marketing, lead generation, and advertising programs, including our hosting of Amplify, our in-person and virtual product and growth conference. An increase of $0.6 million of travel and entertainment expenses was also primarily attributable to our Amplify conference. An increase of $2.4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also contributed to the increase.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5"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increased $2.9 million, or 35%, during the three months ended June 30, 2022 compared to the three months ended June 30, 2021. The increase was primarily attributable to $1.8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This increase was also attributable to $1.3 million in personnel and related expenses directly associated with an increase in headcount, including an increase in allocated overhead costs, an increase in corporate expenses of $0.9 million, primarily related to increased insurance costs, and an increase in subscription software costs of $0.7 million. The increases were partially offset by a $1.9 million decrease in professional services attributable to increased fees incurred in the comparative period related to the Direct Listing.</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60" w:type="dxa"/>
            <w:vAlign w:val="bottom"/>
            <w:gridSpan w:val="2"/>
          </w:tcPr>
          <w:p>
            <w:pPr>
              <w:jc w:val="right"/>
              <w:ind w:right="3340"/>
              <w:spacing w:after="0"/>
              <w:rPr>
                <w:sz w:val="20"/>
                <w:szCs w:val="20"/>
                <w:color w:val="auto"/>
              </w:rPr>
            </w:pPr>
            <w:r>
              <w:rPr>
                <w:rFonts w:ascii="Times New Roman" w:cs="Times New Roman" w:eastAsia="Times New Roman" w:hAnsi="Times New Roman"/>
                <w:sz w:val="18"/>
                <w:szCs w:val="18"/>
                <w:i w:val="1"/>
                <w:iCs w:val="1"/>
                <w:color w:val="auto"/>
                <w:w w:val="99"/>
              </w:rPr>
              <w:t>Other Income, net</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4"/>
              </w:rPr>
              <w:t>except percentages)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FF0FC"/>
          </w:tcPr>
          <w:p>
            <w:pPr>
              <w:jc w:val="right"/>
              <w:ind w:right="334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261</w:t>
            </w:r>
          </w:p>
        </w:tc>
        <w:tc>
          <w:tcPr>
            <w:tcW w:w="17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7"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$0.3 million during the three months ended June 30, 2022 compared to the three months ended June 30, 2021. The increase was primarily related to a $0.2 million increase in interest income resulting from higher interest rates and a higher average cash and cash equivalents balance during the three months ended June 30, 2022 compared to the three months ended June 30,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540" w:type="dxa"/>
            <w:vAlign w:val="bottom"/>
            <w:gridSpan w:val="2"/>
            <w:shd w:val="clear" w:color="auto" w:fill="CFF0FC"/>
          </w:tcPr>
          <w:p>
            <w:pPr>
              <w:jc w:val="center"/>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2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(90 )</w:t>
            </w:r>
          </w:p>
        </w:tc>
        <w:tc>
          <w:tcPr>
            <w:tcW w:w="1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Provision for income taxes decreased $0.09 million, or 24%, during the three months ended June 30, 2022 compared to the three months ended June 30, 2021, primarily due to decreased foreign taxes resulting from a decrease in foreign deferred tax balance changes during the three months ended June 30, 2022 compared to the three months ended June 30, 2021.</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6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to Six Months Ended June 30, 2021</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3"/>
              </w:rPr>
              <w:t>except percentages)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111,195</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17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600" w:firstLine="509"/>
        <w:spacing w:after="0" w:line="250" w:lineRule="auto"/>
        <w:rPr>
          <w:sz w:val="20"/>
          <w:szCs w:val="20"/>
          <w:color w:val="auto"/>
        </w:rPr>
      </w:pPr>
      <w:r>
        <w:rPr>
          <w:rFonts w:ascii="Times New Roman" w:cs="Times New Roman" w:eastAsia="Times New Roman" w:hAnsi="Times New Roman"/>
          <w:sz w:val="18"/>
          <w:szCs w:val="18"/>
          <w:color w:val="auto"/>
        </w:rPr>
        <w:t>Revenue increased $38.8 million, or 54%, during the six months ended June 30, 2022 compared to the six months ended June 30, 2021. The increase in revenue was primarily due to growth of our paying customer base of 43% and revenue generated from our existing paying customers as reflected by our dollar-based net retention of 126% as of June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249"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33,123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68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70 %</w:t>
            </w:r>
          </w:p>
        </w:tc>
        <w:tc>
          <w:tcPr>
            <w:tcW w:w="1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Cost of revenue increased $10.7 million, or 48%, during the six months ended June 30, 2022 compared to the six months ended June 30, 2021. The increase was primarily due to an increase of $5.4 million in third-party hosting costs as we increased capacity to support paying customer usage and growth of our paying customer base and $4.8 million in personnel and related expenses directly associated with an increase in headcount, including an increase in allocated overhead costs.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gross margin increased during the six months ended June 30, 2022 compared to the six months ended June 30, 2021, primarily due to a decrease in our third-party hosting costs as a percentage of revenue.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3"/>
              </w:rPr>
              <w:t>except percentages)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7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7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137%</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w:t>
            </w:r>
          </w:p>
        </w:tc>
        <w:tc>
          <w:tcPr>
            <w:tcW w:w="17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69%</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70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124,646</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58,776</w:t>
            </w:r>
          </w:p>
        </w:tc>
        <w:tc>
          <w:tcPr>
            <w:tcW w:w="17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-153670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-153670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-153670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increased $21.3 million, or 137%, during the six months ended June 30, 2022 compared to the six months ended June 30, 2021. This increase was primarily attributable to $10.5 million in personnel and related expenses directly associated with an increase in headcount, including an increase in allocated overhead costs. The increase was also attributable to an increase of $9.9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Sales and marketing expenses increased $25.5 million, or 69%, during the six months ended June 30, 2022 compared to the six months ended June 30, 2021. The increase was primarily due to an increase of $14.8 million in personnel and related expenses directly associated with an increase in headcount, including an increase in allocated overhead costs. An increase of $5.0 million related to expenses to support our marketing, lead generation and advertising programs, including our hosting of Amplify, our in-person and virtual product and growth conference contributed to the overall increase. An increase of $0.8 million of travel and entertainment expenses was also primarily related to our Amplify conference. This increase was also attributable to $4.8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5"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increased $12.0 million, or 89%, during the six months ended June 30, 2022 compared to the six months ended June 30, 2021. The increase was primarily attributable to $6.4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This increase was also attributable to $2.7 million in personnel and related expenses directly associated with an increase in headcount, including an increase in allocated overhead costs, an increase in corporate expenses of $2.3 million, primarily related to increased insurance costs, and an increase in subscription software costs of $1.3 million. The overall increase was partially offset by a decrease of $0.9 million in professional services attributable to fees related to the Direct Listing process that were incurred in the six months ended June 30, 2021.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jc w:val="right"/>
              <w:ind w:right="3110"/>
              <w:spacing w:after="0"/>
              <w:rPr>
                <w:sz w:val="20"/>
                <w:szCs w:val="20"/>
                <w:color w:val="auto"/>
              </w:rPr>
            </w:pPr>
            <w:r>
              <w:rPr>
                <w:rFonts w:ascii="Times New Roman" w:cs="Times New Roman" w:eastAsia="Times New Roman" w:hAnsi="Times New Roman"/>
                <w:sz w:val="18"/>
                <w:szCs w:val="18"/>
                <w:i w:val="1"/>
                <w:iCs w:val="1"/>
                <w:color w:val="auto"/>
                <w:w w:val="99"/>
              </w:rPr>
              <w:t>Other Income, net</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jc w:val="right"/>
              <w:ind w:right="311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580" w:type="dxa"/>
            <w:vAlign w:val="bottom"/>
            <w:gridSpan w:val="2"/>
            <w:shd w:val="clear" w:color="auto" w:fill="CFF0FC"/>
          </w:tcPr>
          <w:p>
            <w:pPr>
              <w:jc w:val="center"/>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80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$0.4 million during the six months ended June 30, 2022 compared to the six months ended June 30, 2021. The increase was primarily related to a $0.3 million increase in interest income resulting from higher interest rates and a higher average cash and cash equivalents balance during the six months ended June 30, 2022 compared to the six months ended June 30,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540" w:type="dxa"/>
            <w:vAlign w:val="bottom"/>
            <w:gridSpan w:val="2"/>
            <w:shd w:val="clear" w:color="auto" w:fill="CFF0FC"/>
          </w:tcPr>
          <w:p>
            <w:pPr>
              <w:jc w:val="center"/>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2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(53 )</w:t>
            </w:r>
          </w:p>
        </w:tc>
        <w:tc>
          <w:tcPr>
            <w:tcW w:w="14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decreased $0.05 million, or 8%, during the six months ended June 30, 2022 compared to the six months ended June 30, 2021, primarily due to decreased foreign taxes resulting from a decrease in foreign deferred tax balance changes during the six months ended June 30, 2022 compared to the six months ended June 30, 2021.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$226.6 million as of June 30, 2022. We generated positive cash flows from operating activities for the six months ended June 30, 2022;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86" w:lineRule="exact"/>
        <w:rPr>
          <w:sz w:val="20"/>
          <w:szCs w:val="20"/>
          <w:color w:val="auto"/>
        </w:rPr>
      </w:pPr>
    </w:p>
    <w:p>
      <w:pPr>
        <w:ind w:right="280" w:firstLine="509"/>
        <w:spacing w:after="0" w:line="246" w:lineRule="auto"/>
        <w:rPr>
          <w:sz w:val="20"/>
          <w:szCs w:val="20"/>
          <w:color w:val="auto"/>
        </w:rPr>
      </w:pPr>
      <w:r>
        <w:rPr>
          <w:rFonts w:ascii="Times New Roman" w:cs="Times New Roman" w:eastAsia="Times New Roman" w:hAnsi="Times New Roman"/>
          <w:sz w:val="18"/>
          <w:szCs w:val="18"/>
          <w:color w:val="auto"/>
        </w:rPr>
        <w:t>As of June 30, 2022, our principal sources of liquidity were cash and cash equivalents of $310.0 million and restricted cash of $0.9 million.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June 30, 2022, we had $98.4 million of deferred revenue, all of which was recorded as a current liability. This deferred revenue will be recognized as revenue when or as the related performance obligations are met.</w:t>
      </w:r>
    </w:p>
    <w:p>
      <w:pPr>
        <w:spacing w:after="0" w:line="18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(5,523 )</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(3,788 )</w:t>
            </w: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179,313</w:t>
            </w:r>
          </w:p>
        </w:tc>
        <w:tc>
          <w:tcPr>
            <w:tcW w:w="100" w:type="dxa"/>
            <w:vAlign w:val="bottom"/>
            <w:shd w:val="clear" w:color="auto" w:fill="CFF0FC"/>
          </w:tcPr>
          <w:p>
            <w:pPr>
              <w:spacing w:after="0"/>
              <w:rPr>
                <w:sz w:val="19"/>
                <w:szCs w:val="19"/>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193"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color w:val="auto"/>
        </w:rPr>
        <w:t>Net cash provided by operating activities of $2.4 million for the six months ended June 30, 2022 reflects our net loss of $46.8 million, adjusted by non-cash items such as stock-based compensation expense of $28.3 million, depreciation and amortization of $1.9 million, and non-cash operating lease costs of $1.8 million as well as net cash provided by changes in our operating assets and liabilities of $17.0 million. The net cash provided by changes in operating assets and liabilities primarily consisted of a $29.1 million increase in deferred revenue, resulting from increased billings and collections for subscriptions, and decreases in prepaid expenses and other current and noncurrent assets of $2.3 million. These changes were offset by an increase in deferred commissions of $4.9 million and a $7.5 million increase in accounts receivable due to higher customer billings.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4" w:name="page35"/>
    <w:bookmarkEnd w:id="34"/>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Net cash used in operating activities of $5.5 million for the six months ended June 30, 2021 reflects our net loss of $16.5 million, adjusted by non-cash items such as stock-based compensation expense of $5.6 million and depreciation and amortization of $1.3 million as well as net cash provided by changes in our operating assets and liabilities of $3.7 million. The net cash provided by changes in operating assets and liabilities primarily consisted of a $20.2 million increase in deferred revenue, resulting from increased billings and collections for subscriptions, and a $4.5 million increase in accrued expenses and accounts payable, resulting primarily from increases in accrued professional services, marketing, accrued payroll, and benefits due to an increase in the size of our operations. These increases were offset by an increase of $7.8 million in prepaid expenses and other current and noncurrent assets related to an increase in prepayments made in advance for future services, an increase in deferred commissions of $5.5 million, and a $7.8 million increase in accounts receivable due to higher customer billings.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$3.8 million for the six months ended June 30, 2022 consisted of $1.3 million of capitalized internal-use software development costs and $2.5 million in purchases of property and equipment.</w:t>
      </w:r>
    </w:p>
    <w:p>
      <w:pPr>
        <w:spacing w:after="0" w:line="17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of $0.3 million for the six months ended June 30, 2021 consisted of $1.7 million in net cash acquired upon the acquisition of a privately-held company. This increase was offset by $0.7 million of capitalized internal-use software development costs and $0.7 million in purchases of property and equipment.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of $4.0 million for the six months ended June 30, 2022 primarily consisted of $5.2 million in proceeds from the exercise of stock options offset by $1.1 million of net cash used through sales of common stock to cover tax-related amounts that had not yet been remitted to the respective taxing jurisdictions. It is expected that cash received and paid for these amounts will be cash flow neutral over time.</w:t>
      </w:r>
    </w:p>
    <w:p>
      <w:pPr>
        <w:spacing w:after="0" w:line="16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$179.3 million for the six months ended June 30, 2021 primarily consisted of $173.3 million in net proceeds from the sale and issuance of Series F preferred stock and $6.0 million in proceeds from the exercise of stock options.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June 30, 2022 and 2021, including the expected timing of recognition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9"/>
        </w:trPr>
        <w:tc>
          <w:tcPr>
            <w:tcW w:w="5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w w:val="75"/>
              </w:rPr>
              <w:t>(in</w:t>
            </w: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thousands, except percentages)</w:t>
            </w:r>
          </w:p>
        </w:tc>
        <w:tc>
          <w:tcPr>
            <w:tcW w:w="1460" w:type="dxa"/>
            <w:vAlign w:val="bottom"/>
          </w:tcPr>
          <w:p>
            <w:pPr>
              <w:spacing w:after="0"/>
              <w:rPr>
                <w:sz w:val="19"/>
                <w:szCs w:val="19"/>
                <w:color w:val="auto"/>
              </w:rPr>
            </w:pPr>
          </w:p>
        </w:tc>
      </w:tr>
      <w:tr>
        <w:trPr>
          <w:trHeight w:val="229"/>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98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170,173</w:t>
            </w:r>
          </w:p>
        </w:tc>
        <w:tc>
          <w:tcPr>
            <w:tcW w:w="10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116,922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57,413</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162%</w:t>
            </w:r>
          </w:p>
        </w:tc>
      </w:tr>
      <w:tr>
        <w:trPr>
          <w:trHeight w:val="209"/>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227,586</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138,877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in our contractual obligations and other commitments outside of those disclosed in the 2021 Form 10-K. For further information on our commitments and contingencies, refer to Note 8 in the consolidated financial statements contained within the 2021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Other than the adoption of ASC 842 - Leases as disclosed in Note 1 to our condensed consolidated financial statements included in Part I, Item 1 of this Quarterly Report on Form 10-Q, there have been no changes to our critical accounting policies and estimates, during the six months ended June 30, 2022 as compared to those disclosed in Part II, Item 7. Management’s Discussion and Analysis of Financial Condition and Results of Operations of the 2021 Form 10-K.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7"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Part I, Item 1 of this Quarterly Report on Form 10-Q for more information regarding recent accounting pronouncements.</w:t>
      </w:r>
    </w:p>
    <w:p>
      <w:pPr>
        <w:spacing w:after="0" w:line="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3"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7"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Our cash and cash equivalents consist of cash on hand. As of June 30, 2022, we had cash and cash equivalents of $310.0 million. We do not have any marketable securities and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07"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Additionally, fluctuations in foreign currency exchange rates may cause us to recognize transaction gains and losses in our condensed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7"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“Legal Matters” in Note 8 to our condensed consolidated financial statements included in Part I, Item 1 of this Quarterly Report on Form 10-Q.</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91"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3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revenue was $167.3 million for the fiscal year ended December 31, 2021 and $111.2 million and $72.4 million for the six months ended June 30, 2022 and 2021, respectively. However, you should not rely on our historical revenue growth as an indication of our future performance.</w:t>
      </w:r>
    </w:p>
    <w:p>
      <w:pPr>
        <w:spacing w:after="0" w:line="1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1"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Optimization System, increased competition, changes to technology, a decrease in the growth of our overall market, or our failure, for any reason, to manage our growth effectively or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have experienced net losses in each period since inception. We generated net losses of $75.0 million for the fiscal year ended December 31, 2021 and $46.8 million and $16.5 million for the six months ended June 30, 2022 and 2021, respectively. As of June 30, 2022, we had an accumulated deficit of $226.6 million. We expect our costs and expenses to increase in future periods. In particular, we intend to continue to invest significant resources in:</w:t>
      </w:r>
    </w:p>
    <w:p>
      <w:pPr>
        <w:spacing w:after="0" w:line="63" w:lineRule="exact"/>
        <w:rPr>
          <w:sz w:val="20"/>
          <w:szCs w:val="20"/>
          <w:color w:val="auto"/>
        </w:rPr>
      </w:pPr>
    </w:p>
    <w:p>
      <w:pPr>
        <w:jc w:val="right"/>
        <w:ind w:left="1020" w:right="580" w:hanging="479"/>
        <w:spacing w:after="0" w:line="295" w:lineRule="auto"/>
        <w:tabs>
          <w:tab w:leader="none" w:pos="89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our Digital Optimization System, including investments in our research and development team, the development or acquisition of new products, features, and functionality, and improvements to the scalability, availability, and security of our platform;</w:t>
      </w:r>
    </w:p>
    <w:p>
      <w:pPr>
        <w:spacing w:after="0" w:line="31" w:lineRule="exact"/>
        <w:rPr>
          <w:rFonts w:ascii="Times New Roman" w:cs="Times New Roman" w:eastAsia="Times New Roman" w:hAnsi="Times New Roman"/>
          <w:sz w:val="17"/>
          <w:szCs w:val="17"/>
          <w:color w:val="auto"/>
        </w:rPr>
      </w:pPr>
    </w:p>
    <w:p>
      <w:pPr>
        <w:ind w:left="1020" w:right="100" w:hanging="479"/>
        <w:spacing w:after="0" w:line="281"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03" w:lineRule="exact"/>
        <w:rPr>
          <w:rFonts w:ascii="Times New Roman" w:cs="Times New Roman" w:eastAsia="Times New Roman" w:hAnsi="Times New Roman"/>
          <w:sz w:val="18"/>
          <w:szCs w:val="18"/>
          <w:color w:val="auto"/>
        </w:rPr>
      </w:pPr>
    </w:p>
    <w:p>
      <w:pPr>
        <w:ind w:left="900" w:hanging="35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8" w:name="page39"/>
    <w:bookmarkEnd w:id="38"/>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80" w:lineRule="exact"/>
        <w:rPr>
          <w:sz w:val="20"/>
          <w:szCs w:val="20"/>
          <w:color w:val="auto"/>
        </w:rPr>
      </w:pPr>
    </w:p>
    <w:p>
      <w:pPr>
        <w:jc w:val="both"/>
        <w:ind w:right="100" w:firstLine="509"/>
        <w:spacing w:after="0" w:line="243"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Optimization System and the successful implementation of our marketing strategy.</w:t>
      </w:r>
    </w:p>
    <w:p>
      <w:pPr>
        <w:spacing w:after="0" w:line="199"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Optimization System;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39" w:name="page40"/>
    <w:bookmarkEnd w:id="3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our stock price could decline.</w:t>
      </w:r>
    </w:p>
    <w:p>
      <w:pPr>
        <w:spacing w:after="0" w:line="3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1" w:lineRule="exact"/>
        <w:rPr>
          <w:sz w:val="20"/>
          <w:szCs w:val="20"/>
          <w:color w:val="auto"/>
        </w:rPr>
      </w:pPr>
    </w:p>
    <w:p>
      <w:pPr>
        <w:ind w:left="1020" w:right="140" w:hanging="479"/>
        <w:spacing w:after="0" w:line="266"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Optimization System, including as a result of our introduction of new products, features, and functionality;</w:t>
      </w:r>
    </w:p>
    <w:p>
      <w:pPr>
        <w:spacing w:after="0" w:line="6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Optimization System;</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03"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6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03" w:lineRule="exact"/>
        <w:rPr>
          <w:rFonts w:ascii="Times New Roman" w:cs="Times New Roman" w:eastAsia="Times New Roman" w:hAnsi="Times New Roman"/>
          <w:sz w:val="18"/>
          <w:szCs w:val="18"/>
          <w:color w:val="auto"/>
        </w:rPr>
      </w:pPr>
    </w:p>
    <w:p>
      <w:pPr>
        <w:ind w:left="1020" w:right="200" w:hanging="479"/>
        <w:spacing w:after="0" w:line="281"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6"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mergers, acquisitions or strategic partnerships, and their integration;</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merger, acquisition or strategic partnership opportunities;</w:t>
      </w:r>
    </w:p>
    <w:p>
      <w:pPr>
        <w:spacing w:after="0" w:line="116" w:lineRule="exact"/>
        <w:rPr>
          <w:rFonts w:ascii="Times New Roman" w:cs="Times New Roman" w:eastAsia="Times New Roman" w:hAnsi="Times New Roman"/>
          <w:sz w:val="18"/>
          <w:szCs w:val="18"/>
          <w:color w:val="auto"/>
        </w:rPr>
      </w:pPr>
    </w:p>
    <w:p>
      <w:pPr>
        <w:ind w:left="1020" w:right="300" w:hanging="479"/>
        <w:spacing w:after="0" w:line="250"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and rising interest rates), both domestically and internationally, as well as economic conditions specifically affecting industries in which our customers participate, and related difficulties in collections;</w:t>
      </w:r>
    </w:p>
    <w:p>
      <w:pPr>
        <w:spacing w:after="0" w:line="81" w:lineRule="exact"/>
        <w:rPr>
          <w:rFonts w:ascii="Times New Roman" w:cs="Times New Roman" w:eastAsia="Times New Roman" w:hAnsi="Times New Roman"/>
          <w:sz w:val="18"/>
          <w:szCs w:val="18"/>
          <w:color w:val="auto"/>
        </w:rPr>
      </w:pPr>
    </w:p>
    <w:p>
      <w:pPr>
        <w:ind w:left="1020" w:hanging="479"/>
        <w:spacing w:after="0" w:line="250"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including the COVID-19 pandemic, and war or other armed conflict, including Russia's invasion of Ukraine, on our business, operations, and the markets and communities in which we and our customers and partners operate;</w:t>
      </w:r>
    </w:p>
    <w:p>
      <w:pPr>
        <w:spacing w:after="0" w:line="8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03"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 anti-corruption, and anti-money laundering laws;</w:t>
      </w:r>
    </w:p>
    <w:p>
      <w:pPr>
        <w:spacing w:after="0" w:line="60" w:lineRule="exact"/>
        <w:rPr>
          <w:rFonts w:ascii="Times New Roman" w:cs="Times New Roman" w:eastAsia="Times New Roman" w:hAnsi="Times New Roman"/>
          <w:sz w:val="18"/>
          <w:szCs w:val="18"/>
          <w:color w:val="auto"/>
        </w:rPr>
      </w:pPr>
    </w:p>
    <w:p>
      <w:pPr>
        <w:ind w:left="1020" w:right="620" w:hanging="479"/>
        <w:spacing w:after="0" w:line="266"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67" w:lineRule="exact"/>
        <w:rPr>
          <w:rFonts w:ascii="Times New Roman" w:cs="Times New Roman" w:eastAsia="Times New Roman" w:hAnsi="Times New Roman"/>
          <w:sz w:val="18"/>
          <w:szCs w:val="18"/>
          <w:color w:val="auto"/>
        </w:rPr>
      </w:pPr>
    </w:p>
    <w:p>
      <w:pPr>
        <w:ind w:left="1020" w:hanging="479"/>
        <w:spacing w:after="0" w:line="266" w:lineRule="auto"/>
        <w:tabs>
          <w:tab w:leader="none" w:pos="8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40" w:name="page41"/>
    <w:bookmarkEnd w:id="40"/>
    <w:p>
      <w:pPr>
        <w:ind w:left="900" w:hanging="35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1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litigation.</w:t>
      </w:r>
    </w:p>
    <w:p>
      <w:pPr>
        <w:spacing w:after="0" w:line="272"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cycles and our results of operations.</w:t>
      </w:r>
    </w:p>
    <w:p>
      <w:pPr>
        <w:spacing w:after="0" w:line="64"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cycles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sales cycle may adversely affect our financial results. Factors that may influence the length and variability of our sales cycle include:</w:t>
      </w:r>
    </w:p>
    <w:p>
      <w:pPr>
        <w:spacing w:after="0" w:line="85" w:lineRule="exact"/>
        <w:rPr>
          <w:sz w:val="20"/>
          <w:szCs w:val="20"/>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Optimization System;</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8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64"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Optimization System, including as a result of a general economic downturn,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304"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revenue and the profitability of our business depend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both in the United States and abroad,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1" w:name="page42"/>
    <w:bookmarkEnd w:id="41"/>
    <w:p>
      <w:pPr>
        <w:ind w:right="20"/>
        <w:spacing w:after="0" w:line="243" w:lineRule="auto"/>
        <w:rPr>
          <w:sz w:val="20"/>
          <w:szCs w:val="20"/>
          <w:color w:val="auto"/>
        </w:rPr>
      </w:pPr>
      <w:r>
        <w:rPr>
          <w:rFonts w:ascii="Times New Roman" w:cs="Times New Roman" w:eastAsia="Times New Roman" w:hAnsi="Times New Roman"/>
          <w:sz w:val="18"/>
          <w:szCs w:val="18"/>
          <w:color w:val="auto"/>
        </w:rPr>
        <w:t>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Optimization System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and they may be less dependent on key industry events to generate sales for their products. Further, macroeconomic uncertainty may result in an increased pace of consolidation in certain industries. If this were to occur it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adversely affected.</w:t>
      </w:r>
    </w:p>
    <w:p>
      <w:pPr>
        <w:spacing w:after="0" w:line="107"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optimization.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Optimization System,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Optimization System. If we or other SaaS providers experience data security incidents, loss of customer data, disruptions in delivery, or other problems, the market for SaaS applications, including our Digital Optimization System,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9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37"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market for applications that looks to address digital optimization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1" w:lineRule="exact"/>
        <w:rPr>
          <w:sz w:val="20"/>
          <w:szCs w:val="20"/>
          <w:color w:val="auto"/>
        </w:rPr>
      </w:pPr>
    </w:p>
    <w:p>
      <w:pPr>
        <w:ind w:left="1020" w:hanging="479"/>
        <w:spacing w:after="0" w:line="258" w:lineRule="auto"/>
        <w:tabs>
          <w:tab w:leader="none" w:pos="8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0"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11"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7"/>
          <w:szCs w:val="17"/>
          <w:color w:val="auto"/>
        </w:rPr>
        <w:t>Our competitors may be able to respond more quickly and effectively than we can to new or changing opportunities, technologies, standards, or customer requirements. With the introduction of new technologies, the evolution of our Digital Optimization System, and new market entrants, we expect competition to intensify in the future. Pricing pressures and increased competition generally could result in reduced sales, reduced margins, losses, or the failure of our Digital Optimization System to achieve or maintain more widespread market acceptance, any of which could harm our business.</w:t>
      </w:r>
    </w:p>
    <w:p>
      <w:pPr>
        <w:spacing w:after="0" w:line="162"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optimization may expand their services to compete with us. Many of our current and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2" w:name="page43"/>
    <w:bookmarkEnd w:id="42"/>
    <w:p>
      <w:pPr>
        <w:ind w:right="40"/>
        <w:spacing w:after="0" w:line="268" w:lineRule="auto"/>
        <w:rPr>
          <w:sz w:val="20"/>
          <w:szCs w:val="20"/>
          <w:color w:val="auto"/>
        </w:rPr>
      </w:pPr>
      <w:r>
        <w:rPr>
          <w:rFonts w:ascii="Times New Roman" w:cs="Times New Roman" w:eastAsia="Times New Roman" w:hAnsi="Times New Roman"/>
          <w:sz w:val="17"/>
          <w:szCs w:val="17"/>
          <w:color w:val="auto"/>
        </w:rPr>
        <w:t>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"Business—Competition" in our 2021 Form 10-K.</w:t>
      </w:r>
    </w:p>
    <w:p>
      <w:pPr>
        <w:spacing w:after="0" w:line="26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Optimization System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Optimization System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Optimization System to meet customer requirements, or otherwise gain market acceptance, our business, financial condition, and results of operations could be materially adversely affected.</w:t>
      </w:r>
    </w:p>
    <w:p>
      <w:pPr>
        <w:spacing w:after="0" w:line="18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Because our Digital Optimization System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Optimization System may need to address additional requirements specific to those industries.</w:t>
      </w:r>
    </w:p>
    <w:p>
      <w:pPr>
        <w:spacing w:after="0" w:line="18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If we are unable to enhance our Digital Optimization System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15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in our business, personnel and operations, which has placed, and may continue to place, significant demands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Optimization System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 the quality of our products may suffer, which could negatively affect our brand and reputation and harm our ability to retain and attract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43" w:name="page44"/>
    <w:bookmarkEnd w:id="43"/>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3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continued impact and ultimate duration of the COVID-19 pandemic (including the Omicron variant and any new variants or mutant strains of the virus) on the global economy and our business are difficult to assess or predict. Actual and potential impacts include:</w:t>
      </w:r>
    </w:p>
    <w:p>
      <w:pPr>
        <w:spacing w:after="0" w:line="67" w:lineRule="exact"/>
        <w:rPr>
          <w:sz w:val="20"/>
          <w:szCs w:val="20"/>
          <w:color w:val="auto"/>
        </w:rPr>
      </w:pPr>
    </w:p>
    <w:p>
      <w:pPr>
        <w:ind w:left="1020" w:hanging="479"/>
        <w:spacing w:after="0" w:line="266"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prospects and our existing customers may experience slowdowns in their businesses, which in turn may result in reduced demand for our Digital Optimization System, lengthening of sales cycles, loss of customers, and difficulties in collections.</w:t>
      </w:r>
    </w:p>
    <w:p>
      <w:pPr>
        <w:spacing w:after="0" w:line="53" w:lineRule="exact"/>
        <w:rPr>
          <w:rFonts w:ascii="Times New Roman" w:cs="Times New Roman" w:eastAsia="Times New Roman" w:hAnsi="Times New Roman"/>
          <w:sz w:val="18"/>
          <w:szCs w:val="18"/>
          <w:color w:val="auto"/>
        </w:rPr>
      </w:pPr>
    </w:p>
    <w:p>
      <w:pPr>
        <w:ind w:left="1020" w:right="200" w:hanging="479"/>
        <w:spacing w:after="0" w:line="281"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working from home significantly more frequently than they did historically prior to the COVID-19 pandemic, which may result in decreased employee productivity and morale with increased unwanted employee attrition.</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fixed costs, particularly for real estate, and are deriving reduced or no benefit from those costs.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continue to experience disruptions to our growth planning, such as for facilities and international expansion.</w:t>
      </w:r>
    </w:p>
    <w:p>
      <w:pPr>
        <w:spacing w:after="0" w:line="103" w:lineRule="exact"/>
        <w:rPr>
          <w:rFonts w:ascii="Times New Roman" w:cs="Times New Roman" w:eastAsia="Times New Roman" w:hAnsi="Times New Roman"/>
          <w:sz w:val="18"/>
          <w:szCs w:val="18"/>
          <w:color w:val="auto"/>
        </w:rPr>
      </w:pPr>
    </w:p>
    <w:p>
      <w:pPr>
        <w:ind w:left="1020" w:right="320" w:hanging="479"/>
        <w:spacing w:after="0" w:line="281"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costs in returning to work at our offices around the world, including changes to the workplace, such as space planning, food service, and amenities.</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liability for unsafe workplace claims.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critical vendors could go out of business.</w:t>
      </w:r>
    </w:p>
    <w:p>
      <w:pPr>
        <w:spacing w:after="0" w:line="116" w:lineRule="exact"/>
        <w:rPr>
          <w:rFonts w:ascii="Times New Roman" w:cs="Times New Roman" w:eastAsia="Times New Roman" w:hAnsi="Times New Roman"/>
          <w:sz w:val="18"/>
          <w:szCs w:val="18"/>
          <w:color w:val="auto"/>
        </w:rPr>
      </w:pPr>
    </w:p>
    <w:p>
      <w:pPr>
        <w:ind w:left="1020" w:right="400" w:hanging="479"/>
        <w:spacing w:after="0" w:line="266"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53"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16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Overall, the COVID-19 pandemic largely resulted in favorable trends for our business, as customers were able to leverage the digital optimization of their products as sales increasingly shifted online. It can be difficult to predict customer demand, especially as customers’ priorities, resources, and economic outlook change, along with other shifting market conditions. These shifts have occurred and may in the future occur more quickly than we anticipate. For example, as stay-at-home orders, travel restrictions, and other quarantine and isolation measures are lifted, the amount of time that consumers spend interacting with digital products may normalize or decline, which could slow customer demand for our Digital Optimization System. If we are unable to respond quickly to rapidly changing market conditions and shifts in customer behavior, our business and results of operations could be harmed, and the trading price of our Class A common stock could be adversely affected.</w:t>
      </w:r>
    </w:p>
    <w:p>
      <w:pPr>
        <w:spacing w:after="0" w:line="186"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Although global economic conditions generally improved with the rollout of vaccines, business activity may not recover as quickly as anticipated,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and supply chain challenges. Conditions may vary between countries and regions and will be subject to the effectiveness and duration of government policies, vaccine administration rates, and other factors that may not be foreseeable. Vaccines for COVID-19 continue to be administered in the United States and other countries around the world, but the extent and rate of vaccine adoption, the long-term efficacy of these vaccines, and other factors remain uncertain. We currently require employees in North America to be fully vaccinated to utilize our office space or attend in-person company events and have implemented other health and safety protocols, which have created and may continue to create additional risks and operational challenges and may require us to make additional investments in the design, implementation, and enforcement of new workplace health and safety protocols. Even if we follow what we believe to be best practices, our efforts to reopen our offices safely may not be successful and could expose our employees, partners, and customers to health risks, and us to associated liability. Furthermore, additional and/or extended governmental restrictions, new regulations, or other changing conditions could cause us to temporarily close certain of our offices. We have offered, and plan to continue to offer, a significant percentage of our employees flexibility to shift to a hybrid work arrangement, which may adversely impact the productivity of certain employees and harm our business, including our future results of operations. This may also present risks for our strategy and may present operational, cybersecurity, and workplace culture challenges that may materially adversely affect our business.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4" w:name="page45"/>
    <w:bookmarkEnd w:id="44"/>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Finally, the effects of the COVID-19 pandemic, or the easing of COVID-19-related restrictions, also may heighten other risks, including significant volatility in global markets and the trading price of our Class A common stock. The extent of the impact that COVID-19 could have on worldwide economic activity and our business in particular depends on future developments that cannot be accurately predicted at this time, such as the duration and spread of the COVID-19 pandemic, future waves of COVID-19 infections (including the spread of variants or mutant strains of the virus) resulting in additional preventive measures to contain or mitigate the spread of the virus, the extent and effectiveness of containment actions, the administration, adoption, and efficacy of vaccination programs, and the impact of these and other factors on our employees, customers, partners, and vendors. If we are not able to respond to and manage the impact of such events effectively, our business will be harmed.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39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8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Use of our platform involves the storage, transmission, and processing of our customers’ proprietary data, including personal or identifying information of their customers or employees. Unauthorized disclosure of or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and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8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malicious code,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 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p>
    <w:p>
      <w:pPr>
        <w:spacing w:after="0" w:line="18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76"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5" w:name="page46"/>
    <w:bookmarkEnd w:id="45"/>
    <w:p>
      <w:pPr>
        <w:ind w:right="80"/>
        <w:spacing w:after="0" w:line="244" w:lineRule="auto"/>
        <w:rPr>
          <w:sz w:val="20"/>
          <w:szCs w:val="20"/>
          <w:color w:val="auto"/>
        </w:rPr>
      </w:pPr>
      <w:r>
        <w:rPr>
          <w:rFonts w:ascii="Times New Roman" w:cs="Times New Roman" w:eastAsia="Times New Roman" w:hAnsi="Times New Roman"/>
          <w:sz w:val="18"/>
          <w:szCs w:val="18"/>
          <w:color w:val="auto"/>
        </w:rPr>
        <w:t>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28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6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existing and potential customers to access our platform at any time and within an acceptable amount of time. Our agreements with customers typically provide for service 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 of 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 level commitments under our customer agreements. As a result, our business, financial condition, and results of operations could be materially adversely affected if we suffer unscheduled downtime that exceeds the service level commitments we have made to our customers. Any extended service outages could materially adversely affect our business and reputation.</w:t>
      </w:r>
    </w:p>
    <w:p>
      <w:pPr>
        <w:spacing w:after="0" w:line="18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Our Digital Optimization System is proprietary, and we rely on the expertise of members of our engineering, operations, product, and software development teams for their continued performance. It may become increasingly difficult and costly to maintain and improve our performance,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7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Optimization System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7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platform could materially adversely affect our business and growth prospects.</w:t>
      </w:r>
    </w:p>
    <w:p>
      <w:pPr>
        <w:spacing w:after="0" w:line="121"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6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using our Digital Optimization System,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Optimization System to existing and prospective customers, and our business, financial condition, and results of operations.</w:t>
      </w:r>
    </w:p>
    <w:p>
      <w:pPr>
        <w:spacing w:after="0" w:line="34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Optimization System could result in customer dissatisfaction and materially adversely affect our business, financial condition, and results of operations.</w:t>
      </w:r>
    </w:p>
    <w:p>
      <w:pPr>
        <w:spacing w:after="0" w:line="5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often assist our customers in implementing our Digital Optimization System (whether through us directly or a third-party implementation partner), and they may need training in the proper use of our Digital Optimization System to maximize its potential and avoid inadequate performance. If we or our implementation partners fail to train customers on how to efficiently and effectively use our Digital Optimization System or we fail to provide adequate product support to our customers, we may lose opportunities for additional subscriptions, customers may choose not to renew or expand the use of our Digital Optimization System, we may experience negative publicity or legal claims against us, and our reputation and brand may suffer. Any of these circumstances could materially adversely affect our business, financial condition, and results of operations.</w:t>
      </w:r>
    </w:p>
    <w:p>
      <w:pPr>
        <w:spacing w:after="0" w:line="28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5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Optimization System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Optimization System may become less marketable, less competitive, or obsolete, and our business, financial condition, results of operations, and growth prospects could be materially adversely affected.</w:t>
      </w:r>
    </w:p>
    <w:p>
      <w:pPr>
        <w:spacing w:after="0" w:line="28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4"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Optimization System and, as a result, we have in the past needed, and expect in the future that we will need, to change our pricing model from time to time. As the market for our Digital Optimization System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47" w:name="page48"/>
    <w:bookmarkEnd w:id="47"/>
    <w:p>
      <w:pPr>
        <w:ind w:right="440"/>
        <w:spacing w:after="0" w:line="281" w:lineRule="auto"/>
        <w:rPr>
          <w:sz w:val="20"/>
          <w:szCs w:val="20"/>
          <w:color w:val="auto"/>
        </w:rPr>
      </w:pPr>
      <w:r>
        <w:rPr>
          <w:rFonts w:ascii="Times New Roman" w:cs="Times New Roman" w:eastAsia="Times New Roman" w:hAnsi="Times New Roman"/>
          <w:sz w:val="18"/>
          <w:szCs w:val="18"/>
          <w:color w:val="auto"/>
        </w:rPr>
        <w:t>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53"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Optimization System by new and existing customers, especially enterprise customers, our business, financial condition, and results of operations may be materially adversely affected.</w:t>
      </w:r>
    </w:p>
    <w:p>
      <w:pPr>
        <w:spacing w:after="0" w:line="18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6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Optimization System, but there can be no assurance that these steps will be effective, and restrictions on travel and other limitations as a result of the COVID-19 pandemic undermine our efforts to provide training and build relationships. In addition, if our channel partners are unsuccessful in marketing and selling access to our Digital Optimization System, it would limit our expansion into certain geographies, sectors, and industries. If we are unable to develop and maintain effective sales incentive programs for our channel partners, we may not be able to incentivize these partners to sell access to our Digital Optimization System to customers.</w:t>
      </w:r>
    </w:p>
    <w:p>
      <w:pPr>
        <w:spacing w:after="0" w:line="18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Optimization System altogether. Our channel partners could subject us to lawsuits, potential liability, and reputational harm if, for example, any of our channel partners misrepresents the functionality of our Digital Optimization System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Optimization System. If our channel partners are unsuccessful in selling access to our Digital Optimization System, or if we are unable to enter into arrangements with or retain a sufficient number of high-quality channel partners in each of the regions in which we sell access to our Digital Optimization System and keep them motivated to sell access to our Digital Optimization System, our business, financial condition, results of operations, and growth prospects could be adversely affected.</w:t>
      </w:r>
    </w:p>
    <w:p>
      <w:pPr>
        <w:spacing w:after="0" w:line="30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and retaining existing customers, our business and ability to grow our revenues would be harmed.</w:t>
      </w:r>
    </w:p>
    <w:p>
      <w:pPr>
        <w:spacing w:after="0" w:line="51"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We rely on our marketing strategies consisting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 to drive our sales and revenue. These strategies may not continue to generate the level of sales necessary to increase our revenue. If our outbound sales efforts are unsuccessful at attracting and retaining new and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satisfaction with our products, including as a result of actions outside of our control, could harm word-of-mouth referrals and our brand.</w:t>
      </w:r>
    </w:p>
    <w:p>
      <w:pPr>
        <w:spacing w:after="0" w:line="22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0" w:lineRule="exact"/>
        <w:rPr>
          <w:sz w:val="20"/>
          <w:szCs w:val="20"/>
          <w:color w:val="auto"/>
        </w:rPr>
      </w:pPr>
    </w:p>
    <w:p>
      <w:pPr>
        <w:ind w:right="8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4"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We have experienced rapid growth in our customer base since our inception. Although our growth strategy includes acquiring new customers across industries, company size, and stages of digital maturity, we believe there is continued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Optimization System prior to making a purchase decision and placing an order. A number of factors influence the length and variability of our sales cycle, including the need to educate potential customers about the uses and benefits of our Digital Optimization System,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quarter ended June 30, 2022,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07"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optimization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Optimization System from competitive products and services. In addition, independent industry analysts often provide reviews of our Digital Optimization System, as well as products and services offered by our competitors, and perception of our Digital Optimization System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2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For the year ended December 31, 2021 and the six months ended June 30, 2022, 36% and 38%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9" w:name="page50"/>
    <w:bookmarkEnd w:id="49"/>
    <w:p>
      <w:pPr>
        <w:spacing w:after="0" w:line="281" w:lineRule="auto"/>
        <w:rPr>
          <w:sz w:val="20"/>
          <w:szCs w:val="20"/>
          <w:color w:val="auto"/>
        </w:rPr>
      </w:pPr>
      <w:r>
        <w:rPr>
          <w:rFonts w:ascii="Times New Roman" w:cs="Times New Roman" w:eastAsia="Times New Roman" w:hAnsi="Times New Roman"/>
          <w:sz w:val="18"/>
          <w:szCs w:val="18"/>
          <w:color w:val="auto"/>
        </w:rPr>
        <w:t>effectively engage with non-U.S. customers due to our limited sales force capacity and limited channel partners, we may be unable to effectively grow in international markets.</w:t>
      </w:r>
    </w:p>
    <w:p>
      <w:pPr>
        <w:spacing w:after="0" w:line="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31" w:right="55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03" w:lineRule="exact"/>
        <w:rPr>
          <w:rFonts w:ascii="Times New Roman" w:cs="Times New Roman" w:eastAsia="Times New Roman" w:hAnsi="Times New Roman"/>
          <w:sz w:val="18"/>
          <w:szCs w:val="18"/>
          <w:color w:val="auto"/>
        </w:rPr>
      </w:pPr>
    </w:p>
    <w:p>
      <w:pPr>
        <w:ind w:left="1020" w:right="44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6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Optimization System for specific countries;</w:t>
      </w:r>
    </w:p>
    <w:p>
      <w:pPr>
        <w:spacing w:after="0" w:line="103" w:lineRule="exact"/>
        <w:rPr>
          <w:rFonts w:ascii="Times New Roman" w:cs="Times New Roman" w:eastAsia="Times New Roman" w:hAnsi="Times New Roman"/>
          <w:sz w:val="18"/>
          <w:szCs w:val="18"/>
          <w:color w:val="auto"/>
        </w:rPr>
      </w:pPr>
    </w:p>
    <w:p>
      <w:pPr>
        <w:ind w:left="1020" w:right="42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67"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3"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67" w:lineRule="exact"/>
        <w:rPr>
          <w:rFonts w:ascii="Times New Roman" w:cs="Times New Roman" w:eastAsia="Times New Roman" w:hAnsi="Times New Roman"/>
          <w:sz w:val="18"/>
          <w:szCs w:val="18"/>
          <w:color w:val="auto"/>
        </w:rPr>
      </w:pPr>
    </w:p>
    <w:p>
      <w:pPr>
        <w:ind w:left="1020" w:right="140" w:hanging="479"/>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81" w:lineRule="exact"/>
        <w:rPr>
          <w:rFonts w:ascii="Times New Roman" w:cs="Times New Roman" w:eastAsia="Times New Roman" w:hAnsi="Times New Roman"/>
          <w:sz w:val="18"/>
          <w:szCs w:val="18"/>
          <w:color w:val="auto"/>
        </w:rPr>
      </w:pPr>
    </w:p>
    <w:p>
      <w:pPr>
        <w:ind w:left="1020" w:right="24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6" w:lineRule="exact"/>
        <w:rPr>
          <w:rFonts w:ascii="Times New Roman" w:cs="Times New Roman" w:eastAsia="Times New Roman" w:hAnsi="Times New Roman"/>
          <w:sz w:val="18"/>
          <w:szCs w:val="18"/>
          <w:color w:val="auto"/>
        </w:rPr>
      </w:pPr>
    </w:p>
    <w:p>
      <w:pPr>
        <w:ind w:left="1020" w:right="62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03" w:lineRule="exact"/>
        <w:rPr>
          <w:rFonts w:ascii="Times New Roman" w:cs="Times New Roman" w:eastAsia="Times New Roman" w:hAnsi="Times New Roman"/>
          <w:sz w:val="18"/>
          <w:szCs w:val="18"/>
          <w:color w:val="auto"/>
        </w:rPr>
      </w:pPr>
    </w:p>
    <w:p>
      <w:pPr>
        <w:ind w:left="1020" w:right="24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67"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or other pandemics or epidemics, or other global events, including the recent and developing war in Ukraine, that could decrease economic activity in certain markets, decrease use of our products and services, or decrease our ability to import, export, or sell our products and services to existing or new customers in international markets;</w:t>
      </w:r>
    </w:p>
    <w:p>
      <w:pPr>
        <w:spacing w:after="0" w:line="67" w:lineRule="exact"/>
        <w:rPr>
          <w:rFonts w:ascii="Times New Roman" w:cs="Times New Roman" w:eastAsia="Times New Roman" w:hAnsi="Times New Roman"/>
          <w:sz w:val="18"/>
          <w:szCs w:val="18"/>
          <w:color w:val="auto"/>
        </w:rPr>
      </w:pPr>
    </w:p>
    <w:p>
      <w:pPr>
        <w:ind w:left="1020" w:hanging="479"/>
        <w:spacing w:after="0" w:line="258"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 anti-corruption, and anti-money laundering laws, including the Export Administration Regulations, the OFAC regulations, the U.S. Foreign Corrupt Practices Act ("FCPA"), U.S. bribery laws, the UK Bribery Act, and similar laws and regulations in other jurisdictions;</w:t>
      </w:r>
    </w:p>
    <w:p>
      <w:pPr>
        <w:spacing w:after="0" w:line="60"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03" w:lineRule="exact"/>
        <w:rPr>
          <w:rFonts w:ascii="Times New Roman" w:cs="Times New Roman" w:eastAsia="Times New Roman" w:hAnsi="Times New Roman"/>
          <w:sz w:val="18"/>
          <w:szCs w:val="18"/>
          <w:color w:val="auto"/>
        </w:rPr>
      </w:pPr>
    </w:p>
    <w:p>
      <w:pPr>
        <w:ind w:left="1020" w:right="300" w:hanging="479"/>
        <w:spacing w:after="0" w:line="281"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41" w:lineRule="exact"/>
        <w:rPr>
          <w:rFonts w:ascii="Times New Roman" w:cs="Times New Roman" w:eastAsia="Times New Roman" w:hAnsi="Times New Roman"/>
          <w:sz w:val="18"/>
          <w:szCs w:val="18"/>
          <w:color w:val="auto"/>
        </w:rPr>
      </w:pPr>
    </w:p>
    <w:p>
      <w:pPr>
        <w:ind w:left="1020" w:right="240" w:hanging="479"/>
        <w:spacing w:after="0" w:line="266"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75"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action between Russia and Ukraine could materially adversely affect our business, results of operations, and financial condition.</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On February 24, 2022, Russian military forces invaded Ukraine, and sustained conflict and disruption in the region is likely. Although the length, impact, and outcome of the ongoing war in Ukraine is highly unpredictable, this conflict has led, and could continue to lead, to significant market and other disruptions, including instability in financial markets, supply chain interruptions, political and social instability, changes in consumer or purchaser preferences, as well as an increase in cyberattacks, intellectual property theft, and espionage.</w:t>
      </w:r>
    </w:p>
    <w:p>
      <w:pPr>
        <w:spacing w:after="0" w:line="270"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business partners and customers. For example, we and various companies have voluntarily stopped seeking to increase business in Russia. Such circumstances combined with new sanctions have resulted in disruptions to our customers' businesses in the impacted regions, including, at times, their ability to pay for our services. As such, we expect a reduction in revenue from customers in the impacted regions as long as these circumstances continue.</w:t>
      </w:r>
    </w:p>
    <w:p>
      <w:pPr>
        <w:spacing w:after="0" w:line="284"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"Risk Factors" section and elsewhere in this Quarterly Report on Form 10-Q.</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substantially all of our revenue from our Amplitude Analytics product.</w:t>
      </w:r>
    </w:p>
    <w:p>
      <w:pPr>
        <w:spacing w:after="0" w:line="10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Although we recently released our Amplitude Recommend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 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5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For the year ended December 31, 2021 and the six months ended June 30, 2022 and 2021, our research and development expenses were 29%, 33%, and 21%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it would materially adversely affect our business, financial condition, and results of operations.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0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do not know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64"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85" w:lineRule="exact"/>
        <w:rPr>
          <w:sz w:val="20"/>
          <w:szCs w:val="20"/>
          <w:color w:val="auto"/>
        </w:rPr>
      </w:pPr>
    </w:p>
    <w:p>
      <w:pPr>
        <w:ind w:left="1020" w:right="260" w:hanging="479"/>
        <w:spacing w:after="0" w:line="266" w:lineRule="auto"/>
        <w:tabs>
          <w:tab w:leader="none" w:pos="8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53" w:name="page54"/>
    <w:bookmarkEnd w:id="53"/>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6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03" w:lineRule="exact"/>
        <w:rPr>
          <w:sz w:val="20"/>
          <w:szCs w:val="20"/>
          <w:color w:val="auto"/>
        </w:rPr>
      </w:pPr>
    </w:p>
    <w:p>
      <w:pPr>
        <w:ind w:left="1020" w:right="1080" w:hanging="504"/>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67" w:lineRule="exact"/>
        <w:rPr>
          <w:rFonts w:ascii="Times New Roman" w:cs="Times New Roman" w:eastAsia="Times New Roman" w:hAnsi="Times New Roman"/>
          <w:sz w:val="18"/>
          <w:szCs w:val="18"/>
          <w:color w:val="auto"/>
        </w:rPr>
      </w:pPr>
    </w:p>
    <w:p>
      <w:pPr>
        <w:ind w:left="1020" w:right="20" w:hanging="504"/>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3"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41" w:lineRule="exact"/>
        <w:rPr>
          <w:rFonts w:ascii="Times New Roman" w:cs="Times New Roman" w:eastAsia="Times New Roman" w:hAnsi="Times New Roman"/>
          <w:sz w:val="18"/>
          <w:szCs w:val="18"/>
          <w:color w:val="auto"/>
        </w:rPr>
      </w:pPr>
    </w:p>
    <w:p>
      <w:pPr>
        <w:ind w:left="1020" w:right="200" w:hanging="504"/>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4"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use software in our Digital Optimization System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economic sanctions, and anti-corruption laws and regulations, that may expose us to liability and increase our costs.</w:t>
      </w:r>
    </w:p>
    <w:p>
      <w:pPr>
        <w:spacing w:after="0" w:line="5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Digital Optimization System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20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8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1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w:t>
      </w:r>
    </w:p>
    <w:p>
      <w:pPr>
        <w:spacing w:after="0" w:line="54" w:lineRule="exact"/>
        <w:rPr>
          <w:sz w:val="20"/>
          <w:szCs w:val="20"/>
          <w:color w:val="auto"/>
        </w:rPr>
      </w:pPr>
    </w:p>
    <w:p>
      <w:pPr>
        <w:ind w:left="1020" w:right="46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(“SWIFT”) payment system);</w:t>
      </w:r>
    </w:p>
    <w:p>
      <w:pPr>
        <w:spacing w:after="0" w:line="41" w:lineRule="exact"/>
        <w:rPr>
          <w:rFonts w:ascii="Times New Roman" w:cs="Times New Roman" w:eastAsia="Times New Roman" w:hAnsi="Times New Roman"/>
          <w:sz w:val="18"/>
          <w:szCs w:val="18"/>
          <w:color w:val="auto"/>
        </w:rPr>
      </w:pPr>
    </w:p>
    <w:p>
      <w:pPr>
        <w:ind w:left="1020" w:right="60" w:hanging="504"/>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w:t>
      </w:r>
    </w:p>
    <w:p>
      <w:pPr>
        <w:spacing w:after="0" w:line="53"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41" w:lineRule="exact"/>
        <w:rPr>
          <w:rFonts w:ascii="Times New Roman" w:cs="Times New Roman" w:eastAsia="Times New Roman" w:hAnsi="Times New Roman"/>
          <w:sz w:val="18"/>
          <w:szCs w:val="18"/>
          <w:color w:val="auto"/>
        </w:rPr>
      </w:pPr>
    </w:p>
    <w:p>
      <w:pPr>
        <w:ind w:left="1020" w:right="160" w:hanging="504"/>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56" w:name="page57"/>
    <w:bookmarkEnd w:id="56"/>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sanctions introducing restrictions on providing loans to, and dealing in securities issued by, persons connected with Russia;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and E.U. persons in Crimea and Sevastopol;</w:t>
      </w:r>
    </w:p>
    <w:p>
      <w:pPr>
        <w:spacing w:after="0" w:line="103" w:lineRule="exact"/>
        <w:rPr>
          <w:rFonts w:ascii="Times New Roman" w:cs="Times New Roman" w:eastAsia="Times New Roman" w:hAnsi="Times New Roman"/>
          <w:sz w:val="18"/>
          <w:szCs w:val="18"/>
          <w:color w:val="auto"/>
        </w:rPr>
      </w:pPr>
    </w:p>
    <w:p>
      <w:pPr>
        <w:ind w:left="1020" w:right="80" w:hanging="504"/>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p>
      <w:pPr>
        <w:spacing w:after="0" w:line="8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airspace to Russian aircraft; and</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w:t>
      </w:r>
    </w:p>
    <w:p>
      <w:pPr>
        <w:spacing w:after="0" w:line="21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As the conflict in Ukraine continues, there can be no certainty regarding whether the governmental authorities in the United States, the European Union, the United Kingdom, or other counties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w:t>
      </w:r>
    </w:p>
    <w:p>
      <w:pPr>
        <w:spacing w:after="0" w:line="17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7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the sanctions list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conflict in Ukraine, it is possible that our business, financial condition, and results of operations could be materially adversely affected.</w:t>
      </w: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4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7" w:name="page58"/>
    <w:bookmarkEnd w:id="57"/>
    <w:p>
      <w:pPr>
        <w:ind w:firstLine="509"/>
        <w:spacing w:after="0" w:line="241"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for example,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(“SCCs”), one of the primary mechanisms used by companies to transfer personal data out of the EEA, complies with the GDPR. While the CJEU upheld the validity of the SCCs, the CJEU ruled that the underlying data transfers must be assessed on a case-by-case basis by the data controller to determine whether the personal data will be adequately protected. The European Commission issued revised SCCs on June 4, 2021 to account for the decision of the CJEU and recommendations made by the European Data Protection Board. The revised SCCs must be used for relevant new data transfers from September 27, 2021; existing SCC arrangements must be migrated to the revised clauses by December 27, 2022. Separately,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As such, we will need to review existing transfers of personal data out of the EEA and the UK and put in place measures to implement the new SCCs and the UK data transfer standard contracts, subject to the applicable transition periods. Accordingly, unless we put in place such measures by the end of the applicable transition periods, any transfers by us of personal data from Europe or the UK may not comply with European data protection laws and may increase our exposure to the GDPR’s or the UK GDPR’s heightened sanctions for violations of its cross-border data transfer restrictions. Loss of our ability to transfer personal data from Europe or the UK may also require us to increase our data processing capabilities in those jurisdictions at significant expense.</w:t>
      </w:r>
    </w:p>
    <w:p>
      <w:pPr>
        <w:spacing w:after="0" w:line="193"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Further, from January 1,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w:t>
      </w:r>
    </w:p>
    <w:p>
      <w:pPr>
        <w:spacing w:after="0" w:line="20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7"/>
          <w:szCs w:val="17"/>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Optimization System,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58" w:name="page59"/>
    <w:bookmarkEnd w:id="58"/>
    <w:p>
      <w:pPr>
        <w:ind w:firstLine="509"/>
        <w:spacing w:after="0" w:line="242"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passed in Virginia, Colorado, and Utah and have been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8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8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0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Optimization System, and we expect to significantly expand the number of transactions with customers for our Digital Optimization System that are denominated in foreign currencies. In addition,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183" w:lineRule="exact"/>
        <w:rPr>
          <w:sz w:val="20"/>
          <w:szCs w:val="20"/>
          <w:color w:val="auto"/>
        </w:rPr>
      </w:pPr>
    </w:p>
    <w:p>
      <w:pPr>
        <w:ind w:right="400" w:firstLine="509"/>
        <w:spacing w:after="0" w:line="246"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0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right="220" w:firstLine="509"/>
        <w:spacing w:after="0" w:line="24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07"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60" w:name="page61"/>
    <w:bookmarkEnd w:id="60"/>
    <w:p>
      <w:pPr>
        <w:ind w:right="280"/>
        <w:spacing w:after="0" w:line="281" w:lineRule="auto"/>
        <w:rPr>
          <w:sz w:val="20"/>
          <w:szCs w:val="20"/>
          <w:color w:val="auto"/>
        </w:rPr>
      </w:pPr>
      <w:r>
        <w:rPr>
          <w:rFonts w:ascii="Times New Roman" w:cs="Times New Roman" w:eastAsia="Times New Roman" w:hAnsi="Times New Roman"/>
          <w:sz w:val="18"/>
          <w:szCs w:val="18"/>
          <w:color w:val="auto"/>
        </w:rPr>
        <w:t>outcome may differ from the amounts recorded in our condensed consolidated financial statements and may materially affect our financial results in the period or periods in which such outcome is determined.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03" w:lineRule="exact"/>
        <w:rPr>
          <w:sz w:val="20"/>
          <w:szCs w:val="20"/>
          <w:color w:val="auto"/>
        </w:rPr>
      </w:pPr>
    </w:p>
    <w:p>
      <w:pPr>
        <w:ind w:left="900" w:hanging="35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6"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(“TCJA”), the Coronavirus Aid, Relief, and Economic Security Act (“CARES Act”), and proposed legislation;</w:t>
      </w:r>
    </w:p>
    <w:p>
      <w:pPr>
        <w:spacing w:after="0" w:line="53" w:lineRule="exact"/>
        <w:rPr>
          <w:rFonts w:ascii="Times New Roman" w:cs="Times New Roman" w:eastAsia="Times New Roman" w:hAnsi="Times New Roman"/>
          <w:sz w:val="18"/>
          <w:szCs w:val="18"/>
          <w:color w:val="auto"/>
        </w:rPr>
      </w:pPr>
    </w:p>
    <w:p>
      <w:pPr>
        <w:ind w:left="1020" w:right="60" w:hanging="479"/>
        <w:spacing w:after="0" w:line="281" w:lineRule="auto"/>
        <w:tabs>
          <w:tab w:leader="none" w:pos="8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8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6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9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recently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61" w:name="page62"/>
    <w:bookmarkEnd w:id="6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in the future, may be, volatile, and could decline significantly and rapidly.</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substantially and may fluctuate substantially in response to numerous factors in addition to the ones described in the preceding risk factors, many of which are beyond our control, including:</w:t>
      </w:r>
    </w:p>
    <w:p>
      <w:pPr>
        <w:spacing w:after="0" w:line="54"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03" w:lineRule="exact"/>
        <w:rPr>
          <w:rFonts w:ascii="Times New Roman" w:cs="Times New Roman" w:eastAsia="Times New Roman" w:hAnsi="Times New Roman"/>
          <w:sz w:val="18"/>
          <w:szCs w:val="18"/>
          <w:color w:val="auto"/>
        </w:rPr>
      </w:pPr>
    </w:p>
    <w:p>
      <w:pPr>
        <w:ind w:left="1020" w:right="240" w:hanging="504"/>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Optimization System;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Optimization System;</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03" w:lineRule="exact"/>
        <w:rPr>
          <w:rFonts w:ascii="Times New Roman" w:cs="Times New Roman" w:eastAsia="Times New Roman" w:hAnsi="Times New Roman"/>
          <w:sz w:val="18"/>
          <w:szCs w:val="18"/>
          <w:color w:val="auto"/>
        </w:rPr>
      </w:pPr>
    </w:p>
    <w:p>
      <w:pPr>
        <w:ind w:left="1020" w:right="240" w:hanging="504"/>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67" w:lineRule="exact"/>
        <w:rPr>
          <w:rFonts w:ascii="Times New Roman" w:cs="Times New Roman" w:eastAsia="Times New Roman" w:hAnsi="Times New Roman"/>
          <w:sz w:val="18"/>
          <w:szCs w:val="18"/>
          <w:color w:val="auto"/>
        </w:rPr>
      </w:pPr>
    </w:p>
    <w:p>
      <w:pPr>
        <w:ind w:left="1020" w:right="500" w:hanging="504"/>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(including the recent and developing war in Ukraine), incidents of terrorism, pandemics (including the COVID-19 pandemic), elections, or responses to these events;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2" w:name="page63"/>
    <w:bookmarkEnd w:id="62"/>
    <w:p>
      <w:pPr>
        <w:ind w:left="1020" w:right="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dual-class structure and the concentrated voting control of our executive officers, directors, and their affiliates.</w:t>
      </w:r>
    </w:p>
    <w:p>
      <w:pPr>
        <w:spacing w:after="0" w:line="149"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0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89"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6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83" w:lineRule="exact"/>
        <w:rPr>
          <w:sz w:val="20"/>
          <w:szCs w:val="20"/>
          <w:color w:val="auto"/>
        </w:rPr>
      </w:pPr>
    </w:p>
    <w:p>
      <w:pPr>
        <w:jc w:val="both"/>
        <w:ind w:right="60" w:firstLine="509"/>
        <w:spacing w:after="0" w:line="246"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9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21"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3" w:name="page64"/>
    <w:bookmarkEnd w:id="63"/>
    <w:p>
      <w:pPr>
        <w:ind w:right="120"/>
        <w:spacing w:after="0" w:line="281" w:lineRule="auto"/>
        <w:rPr>
          <w:sz w:val="20"/>
          <w:szCs w:val="20"/>
          <w:color w:val="auto"/>
        </w:rPr>
      </w:pPr>
      <w:r>
        <w:rPr>
          <w:rFonts w:ascii="Times New Roman" w:cs="Times New Roman" w:eastAsia="Times New Roman" w:hAnsi="Times New Roman"/>
          <w:sz w:val="18"/>
          <w:szCs w:val="18"/>
          <w:color w:val="auto"/>
        </w:rPr>
        <w:t>indexes would likely preclude investment by many of these funds and could make our Class A common stock less attractive to other investors. As a result, the market price of our Class A common stock could be adversely affected.</w:t>
      </w:r>
    </w:p>
    <w:p>
      <w:pPr>
        <w:spacing w:after="0" w:line="253"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59"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securityholders are subject to any contractual lock-up or other contractual restriction on the transfer or sale of their shares.</w:t>
      </w:r>
    </w:p>
    <w:p>
      <w:pPr>
        <w:spacing w:after="0" w:line="21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RSUs outstanding or reserved for future issuance under our equity compensation plans. As of June 30, 2022, we had options outstanding that, if fully exercised, would result in the issuance of 17,620,837 shares of Class A common stock, as well as 6,475,393 shares of Class A common stock subject to RSU awards.</w:t>
      </w:r>
    </w:p>
    <w:p>
      <w:pPr>
        <w:spacing w:after="0" w:line="168"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14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4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6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4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1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 “emerging growth company,” but commencing December 31, 2022, we will no longer be an “emerging growth company” and the reduced disclosure requirements applicable to emerging growth companies will no longer apply to us.</w:t>
      </w:r>
    </w:p>
    <w:p>
      <w:pPr>
        <w:spacing w:after="0" w:line="266"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currently an emerging growth company but, because the market value of our Class A common stock that was held by non-affiliates exceeded $700 million as of the last business day of our second fiscal quarter ended June 30, 2022, we will no longer qualify for such status commencing December 31, 2022 and we will be a large accelerated filer. As a large accelerated filer, we will be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subject to certain disclosure requirements that are applicable to other public companies that have not been applicable to us as an emerging growth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requirements include:</w:t>
      </w:r>
    </w:p>
    <w:p>
      <w:pPr>
        <w:spacing w:after="0" w:line="85" w:lineRule="exact"/>
        <w:rPr>
          <w:sz w:val="20"/>
          <w:szCs w:val="20"/>
          <w:color w:val="auto"/>
        </w:rPr>
      </w:pPr>
    </w:p>
    <w:p>
      <w:pPr>
        <w:ind w:left="900" w:hanging="35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auditor attestation requirements in the assessment of our internal control over financial reporting;</w:t>
      </w:r>
    </w:p>
    <w:p>
      <w:pPr>
        <w:spacing w:after="0" w:line="103" w:lineRule="exact"/>
        <w:rPr>
          <w:rFonts w:ascii="Times New Roman" w:cs="Times New Roman" w:eastAsia="Times New Roman" w:hAnsi="Times New Roman"/>
          <w:sz w:val="18"/>
          <w:szCs w:val="18"/>
          <w:color w:val="auto"/>
        </w:rPr>
      </w:pPr>
    </w:p>
    <w:p>
      <w:pPr>
        <w:ind w:left="1020" w:right="240" w:hanging="479"/>
        <w:spacing w:after="0" w:line="281" w:lineRule="auto"/>
        <w:tabs>
          <w:tab w:leader="none" w:pos="8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disclosure obligations regarding executive compensation in our periodic reports and proxy statements; and</w:t>
      </w:r>
    </w:p>
    <w:p>
      <w:pPr>
        <w:spacing w:after="0" w:line="103" w:lineRule="exact"/>
        <w:rPr>
          <w:rFonts w:ascii="Times New Roman" w:cs="Times New Roman" w:eastAsia="Times New Roman" w:hAnsi="Times New Roman"/>
          <w:sz w:val="18"/>
          <w:szCs w:val="18"/>
          <w:color w:val="auto"/>
        </w:rPr>
      </w:pPr>
    </w:p>
    <w:p>
      <w:pPr>
        <w:ind w:left="1020" w:right="120" w:hanging="479"/>
        <w:spacing w:after="0" w:line="281" w:lineRule="auto"/>
        <w:tabs>
          <w:tab w:leader="none" w:pos="8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requirements of holding a non-binding advisory vote on executive compensation and stockholder approval of any golden parachute payments not previously approved.</w:t>
      </w:r>
    </w:p>
    <w:p>
      <w:pPr>
        <w:spacing w:after="0" w:line="3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will no longer be able to use the extended transition period for complying with new or revised accounting standards and will be required to comply with the effective dates for new or revised accounting standards that are applicable to public companies.</w:t>
      </w:r>
    </w:p>
    <w:p>
      <w:pPr>
        <w:spacing w:after="0" w:line="200" w:lineRule="exact"/>
        <w:rPr>
          <w:sz w:val="20"/>
          <w:szCs w:val="20"/>
          <w:color w:val="auto"/>
        </w:rPr>
      </w:pPr>
    </w:p>
    <w:p>
      <w:pPr>
        <w:spacing w:after="0" w:line="2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4" w:lineRule="exact"/>
        <w:rPr>
          <w:sz w:val="20"/>
          <w:szCs w:val="20"/>
          <w:color w:val="auto"/>
        </w:rPr>
      </w:pPr>
    </w:p>
    <w:p>
      <w:pPr>
        <w:ind w:left="1020" w:right="140" w:hanging="479"/>
        <w:spacing w:after="0" w:line="281" w:lineRule="auto"/>
        <w:tabs>
          <w:tab w:leader="none" w:pos="8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41"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6" w:lineRule="exact"/>
        <w:rPr>
          <w:rFonts w:ascii="Times New Roman" w:cs="Times New Roman" w:eastAsia="Times New Roman" w:hAnsi="Times New Roman"/>
          <w:sz w:val="18"/>
          <w:szCs w:val="18"/>
          <w:color w:val="auto"/>
        </w:rPr>
      </w:pPr>
    </w:p>
    <w:p>
      <w:pPr>
        <w:ind w:left="1020" w:right="260" w:hanging="479"/>
        <w:spacing w:after="0" w:line="266" w:lineRule="auto"/>
        <w:tabs>
          <w:tab w:leader="none" w:pos="8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0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03" w:lineRule="exact"/>
        <w:rPr>
          <w:rFonts w:ascii="Times New Roman" w:cs="Times New Roman" w:eastAsia="Times New Roman" w:hAnsi="Times New Roman"/>
          <w:sz w:val="18"/>
          <w:szCs w:val="18"/>
          <w:color w:val="auto"/>
        </w:rPr>
      </w:pPr>
    </w:p>
    <w:p>
      <w:pPr>
        <w:ind w:left="1020" w:right="240" w:hanging="479"/>
        <w:spacing w:after="0" w:line="266" w:lineRule="auto"/>
        <w:tabs>
          <w:tab w:leader="none" w:pos="8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30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5" w:name="page66"/>
    <w:bookmarkEnd w:id="65"/>
    <w:p>
      <w:pPr>
        <w:ind w:right="800" w:firstLine="509"/>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41" w:lineRule="exact"/>
        <w:rPr>
          <w:sz w:val="20"/>
          <w:szCs w:val="20"/>
          <w:color w:val="auto"/>
        </w:rPr>
      </w:pPr>
    </w:p>
    <w:p>
      <w:pPr>
        <w:jc w:val="both"/>
        <w:ind w:left="1020" w:right="100" w:hanging="479"/>
        <w:spacing w:after="0" w:line="250"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6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6" w:lineRule="exact"/>
        <w:rPr>
          <w:rFonts w:ascii="Times New Roman" w:cs="Times New Roman" w:eastAsia="Times New Roman" w:hAnsi="Times New Roman"/>
          <w:sz w:val="18"/>
          <w:szCs w:val="18"/>
          <w:color w:val="auto"/>
        </w:rPr>
      </w:pPr>
    </w:p>
    <w:p>
      <w:pPr>
        <w:ind w:left="1020" w:right="220" w:hanging="479"/>
        <w:spacing w:after="0" w:line="295" w:lineRule="auto"/>
        <w:tabs>
          <w:tab w:leader="none" w:pos="89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40" w:hanging="479"/>
        <w:spacing w:after="0" w:line="266"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20" w:right="300" w:hanging="479"/>
        <w:spacing w:after="0" w:line="266"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61"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5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8"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0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have.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 business and growth prospects could be materially adversely affected.</w:t>
      </w:r>
    </w:p>
    <w:p>
      <w:pPr>
        <w:spacing w:after="0" w:line="30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1"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4"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Optimization System, and could harm our business.</w:t>
      </w:r>
    </w:p>
    <w:p>
      <w:pPr>
        <w:spacing w:after="0" w:line="64"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Optimization System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Optimization System could decline.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7" w:name="page68"/>
    <w:bookmarkEnd w:id="6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3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Optimization System or generate any particular level of revenue for us. Any expansion in our markets depends on a number of factors, including the cost, performance, and perceived value associated with our Digital Optimization System and the products of our competitors. Even if the markets in which we compete achieve the forecasted growth, our business could fail to grow at similar rates, if at all.</w:t>
      </w:r>
    </w:p>
    <w:p>
      <w:pPr>
        <w:spacing w:after="0" w:line="282"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2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have in the past and intend in the future to seek to acquire or invest in businesses, joint ventures, and platform technologies that we believe could complement or expand our Digital Optimization System,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07"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recent and developing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99"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89" w:lineRule="exact"/>
        <w:rPr>
          <w:sz w:val="20"/>
          <w:szCs w:val="20"/>
          <w:color w:val="auto"/>
        </w:rPr>
      </w:pPr>
    </w:p>
    <w:p>
      <w:pPr>
        <w:jc w:val="both"/>
        <w:ind w:right="860" w:firstLine="509"/>
        <w:spacing w:after="0" w:line="250"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93"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5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8" w:name="page69"/>
    <w:bookmarkEnd w:id="68"/>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3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which, based on the market value of our Class A common stock held by non-affiliates as of the last business day of our second fiscal quarter ended June 30, 2022, will be December 31, 2022. The Sarbanes-Oxley Act, the Dodd-Frank Wall Street Reform and Consumer Protection Act, Nasdaq rules,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8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5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will be required, pursuant to Section 404, to furnish a report by management on, among other things, the effectiveness of our internal control over financial reporting on an annual basis, beginning with our Annual Report on Form 10-K for the fiscal year ended December 31, 2022. This assessment will need to include disclosure of any material weaknesses identified by our management in our internal control over financial reporting. In addition, because we will no longer be an “emerging growth company” commencing December 31, 2022, our independent registered public accounting firm will be required to attest to the effectiveness of our internal control over financial reporting beginning with our Annual Report on Form 10-K for the fiscal year ended December 31, 2022. We have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begun to establish a compliance and controls function and we will need to hire additional accounting and financial personnel with appropriate public company experience and technical accounting knowledge and compile the system and process documentation necessary to perform the evaluation needed to comply with Section 404.</w:t>
      </w:r>
    </w:p>
    <w:p>
      <w:pPr>
        <w:spacing w:after="0" w:line="199"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   Filed Herewith</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60" w:type="dxa"/>
            <w:vAlign w:val="bottom"/>
            <w:gridSpan w:val="17"/>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Restated Certificate of Incorporation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60" w:type="dxa"/>
            <w:vAlign w:val="bottom"/>
            <w:gridSpan w:val="17"/>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12"/>
            <w:vMerge w:val="restart"/>
          </w:tcPr>
          <w:p>
            <w:pPr>
              <w:ind w:left="40"/>
              <w:spacing w:after="0" w:line="202"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of Class A Common</w:t>
              </w:r>
            </w:hyperlink>
          </w:p>
        </w:tc>
        <w:tc>
          <w:tcPr>
            <w:tcW w:w="70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4.2</w:t>
            </w:r>
          </w:p>
        </w:tc>
        <w:tc>
          <w:tcPr>
            <w:tcW w:w="2020" w:type="dxa"/>
            <w:vAlign w:val="bottom"/>
            <w:vMerge w:val="restart"/>
          </w:tcPr>
          <w:p>
            <w:pPr>
              <w:ind w:left="200"/>
              <w:spacing w:after="0" w:line="202" w:lineRule="exact"/>
              <w:rPr>
                <w:sz w:val="20"/>
                <w:szCs w:val="20"/>
                <w:color w:val="auto"/>
              </w:rPr>
            </w:pPr>
            <w:r>
              <w:rPr>
                <w:rFonts w:ascii="Times New Roman" w:cs="Times New Roman" w:eastAsia="Times New Roman" w:hAnsi="Times New Roman"/>
                <w:sz w:val="18"/>
                <w:szCs w:val="18"/>
                <w:color w:val="auto"/>
              </w:rPr>
              <w:t>8/30/2021</w:t>
            </w: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3560" w:type="dxa"/>
            <w:vAlign w:val="bottom"/>
            <w:gridSpan w:val="5"/>
          </w:tcPr>
          <w:p>
            <w:pPr>
              <w:spacing w:after="0" w:line="182" w:lineRule="exact"/>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Specimen Stock Certificate evidencing the shares</w:t>
              </w:r>
            </w:hyperlink>
          </w:p>
        </w:tc>
        <w:tc>
          <w:tcPr>
            <w:tcW w:w="1700" w:type="dxa"/>
            <w:vAlign w:val="bottom"/>
            <w:gridSpan w:val="1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4"/>
                <w:szCs w:val="14"/>
                <w:color w:val="auto"/>
              </w:rPr>
            </w:pPr>
          </w:p>
        </w:tc>
        <w:tc>
          <w:tcPr>
            <w:tcW w:w="51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Stock.</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333-259698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5260" w:type="dxa"/>
            <w:vAlign w:val="bottom"/>
            <w:gridSpan w:val="17"/>
          </w:tcPr>
          <w:p>
            <w:pPr>
              <w:spacing w:after="0" w:line="182"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Specimen Stock Certificate evidencing the shares of Class B Common</w:t>
              </w:r>
            </w:hyperlink>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4"/>
                <w:szCs w:val="14"/>
                <w:color w:val="auto"/>
              </w:rPr>
            </w:pPr>
          </w:p>
        </w:tc>
        <w:tc>
          <w:tcPr>
            <w:tcW w:w="50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Stock.</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8/30/2021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5260" w:type="dxa"/>
            <w:vAlign w:val="bottom"/>
            <w:gridSpan w:val="17"/>
          </w:tcPr>
          <w:p>
            <w:pPr>
              <w:spacing w:after="0" w:line="182"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Amended and Restated Investors’ Rights Agreement, dated as of May</w:t>
              </w:r>
            </w:hyperlink>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28, 2021, as amended, by and among the Registrant and certain of its</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4"/>
                <w:szCs w:val="14"/>
                <w:color w:val="auto"/>
              </w:rPr>
            </w:pPr>
          </w:p>
        </w:tc>
        <w:tc>
          <w:tcPr>
            <w:tcW w:w="49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stockholders.</w:t>
              </w:r>
            </w:hyperlink>
          </w:p>
        </w:tc>
        <w:tc>
          <w:tcPr>
            <w:tcW w:w="8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4320" w:type="dxa"/>
            <w:vAlign w:val="bottom"/>
            <w:gridSpan w:val="14"/>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dated May 9, 2022, by and between the Registrant and</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Offer Letter,</w:t>
            </w:r>
          </w:p>
        </w:tc>
        <w:tc>
          <w:tcPr>
            <w:tcW w:w="4320" w:type="dxa"/>
            <w:vAlign w:val="bottom"/>
            <w:gridSpan w:val="14"/>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4"/>
                <w:szCs w:val="14"/>
                <w:color w:val="auto"/>
              </w:rPr>
            </w:pPr>
          </w:p>
        </w:tc>
        <w:tc>
          <w:tcPr>
            <w:tcW w:w="48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Thomas Hansen.</w:t>
            </w:r>
          </w:p>
        </w:tc>
        <w:tc>
          <w:tcPr>
            <w:tcW w:w="18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40" w:type="dxa"/>
            <w:vAlign w:val="bottom"/>
            <w:gridSpan w:val="13"/>
            <w:vMerge w:val="restart"/>
          </w:tcPr>
          <w:p>
            <w:pPr>
              <w:spacing w:after="0" w:line="202" w:lineRule="exact"/>
              <w:rPr>
                <w:sz w:val="20"/>
                <w:szCs w:val="20"/>
                <w:color w:val="auto"/>
              </w:rPr>
            </w:pPr>
            <w:r>
              <w:rPr>
                <w:rFonts w:ascii="Times New Roman" w:cs="Times New Roman" w:eastAsia="Times New Roman" w:hAnsi="Times New Roman"/>
                <w:sz w:val="18"/>
                <w:szCs w:val="18"/>
                <w:color w:val="0000FF"/>
                <w:w w:val="99"/>
              </w:rPr>
              <w:t>Principal Executive Officer Pursuant to Rules 13a-14(a)</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2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w:t>
            </w:r>
          </w:p>
        </w:tc>
        <w:tc>
          <w:tcPr>
            <w:tcW w:w="4040" w:type="dxa"/>
            <w:vAlign w:val="bottom"/>
            <w:gridSpan w:val="13"/>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4"/>
                <w:szCs w:val="14"/>
                <w:color w:val="auto"/>
              </w:rPr>
            </w:pPr>
          </w:p>
        </w:tc>
        <w:tc>
          <w:tcPr>
            <w:tcW w:w="50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380" w:type="dxa"/>
            <w:vAlign w:val="bottom"/>
            <w:tcBorders>
              <w:right w:val="single" w:sz="8" w:color="0000EE"/>
            </w:tcBorders>
            <w:gridSpan w:val="4"/>
            <w:shd w:val="clear" w:color="auto" w:fill="0000FF"/>
          </w:tcPr>
          <w:p>
            <w:pPr>
              <w:spacing w:after="0" w:line="20" w:lineRule="exact"/>
              <w:rPr>
                <w:sz w:val="1"/>
                <w:szCs w:val="1"/>
                <w:color w:val="auto"/>
              </w:rPr>
            </w:pPr>
          </w:p>
        </w:tc>
        <w:tc>
          <w:tcPr>
            <w:tcW w:w="940" w:type="dxa"/>
            <w:vAlign w:val="bottom"/>
            <w:gridSpan w:val="10"/>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0000FF"/>
              </w:rPr>
              <w:t>13a-14(a)</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43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7"/>
              </w:rPr>
              <w:t>Certification of Principal Financial Officer Pursuant to Rules</w:t>
            </w:r>
          </w:p>
        </w:tc>
        <w:tc>
          <w:tcPr>
            <w:tcW w:w="940" w:type="dxa"/>
            <w:vAlign w:val="bottom"/>
            <w:gridSpan w:val="10"/>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4"/>
                <w:szCs w:val="14"/>
                <w:color w:val="auto"/>
              </w:rPr>
            </w:pPr>
          </w:p>
        </w:tc>
        <w:tc>
          <w:tcPr>
            <w:tcW w:w="50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80" w:type="dxa"/>
            <w:vAlign w:val="bottom"/>
            <w:gridSpan w:val="5"/>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380" w:type="dxa"/>
            <w:vAlign w:val="bottom"/>
            <w:tcBorders>
              <w:right w:val="single" w:sz="8" w:color="0000EE"/>
            </w:tcBorders>
            <w:gridSpan w:val="4"/>
            <w:shd w:val="clear" w:color="auto" w:fill="0000FF"/>
          </w:tcPr>
          <w:p>
            <w:pPr>
              <w:spacing w:after="0" w:line="20" w:lineRule="exact"/>
              <w:rPr>
                <w:sz w:val="1"/>
                <w:szCs w:val="1"/>
                <w:color w:val="auto"/>
              </w:rPr>
            </w:pPr>
          </w:p>
        </w:tc>
        <w:tc>
          <w:tcPr>
            <w:tcW w:w="940" w:type="dxa"/>
            <w:vAlign w:val="bottom"/>
            <w:gridSpan w:val="10"/>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U.S.C.</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43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940" w:type="dxa"/>
            <w:vAlign w:val="bottom"/>
            <w:gridSpan w:val="10"/>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84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240" w:type="dxa"/>
            <w:vAlign w:val="bottom"/>
            <w:tcBorders>
              <w:bottom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Borders>
              <w:bottom w:val="single" w:sz="8" w:color="0000EE"/>
            </w:tcBorders>
          </w:tcPr>
          <w:p>
            <w:pPr>
              <w:spacing w:after="0"/>
              <w:rPr>
                <w:sz w:val="14"/>
                <w:szCs w:val="14"/>
                <w:color w:val="auto"/>
              </w:rPr>
            </w:pPr>
          </w:p>
        </w:tc>
        <w:tc>
          <w:tcPr>
            <w:tcW w:w="92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320" w:type="dxa"/>
            <w:vAlign w:val="bottom"/>
            <w:gridSpan w:val="14"/>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432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8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1"/>
              </w:rPr>
              <w:t>-Oxley</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bottom w:val="single" w:sz="8" w:color="0000EE"/>
            </w:tcBorders>
          </w:tcPr>
          <w:p>
            <w:pPr>
              <w:spacing w:after="0"/>
              <w:rPr>
                <w:sz w:val="14"/>
                <w:szCs w:val="14"/>
                <w:color w:val="auto"/>
              </w:rPr>
            </w:pPr>
          </w:p>
        </w:tc>
        <w:tc>
          <w:tcPr>
            <w:tcW w:w="92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320" w:type="dxa"/>
            <w:vAlign w:val="bottom"/>
            <w:gridSpan w:val="14"/>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9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4320" w:type="dxa"/>
            <w:vAlign w:val="bottom"/>
            <w:gridSpan w:val="14"/>
          </w:tcPr>
          <w:p>
            <w:pPr>
              <w:ind w:left="4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2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52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52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52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03" w:lineRule="exact"/>
        <w:rPr>
          <w:sz w:val="20"/>
          <w:szCs w:val="20"/>
          <w:color w:val="auto"/>
        </w:rPr>
      </w:pPr>
    </w:p>
    <w:p>
      <w:pPr>
        <w:jc w:val="both"/>
        <w:ind w:right="20" w:firstLine="8"/>
        <w:spacing w:after="0" w:line="250"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70" w:name="page71"/>
    <w:bookmarkEnd w:id="7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320" w:right="7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4, 2022</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17145</wp:posOffset>
            </wp:positionV>
            <wp:extent cx="33051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Spenser Skates</w:t>
      </w:r>
    </w:p>
    <w:p>
      <w:pPr>
        <w:ind w:left="340"/>
        <w:spacing w:after="0" w:line="218"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17145</wp:posOffset>
            </wp:positionV>
            <wp:extent cx="33051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Hoang Vuong</w:t>
      </w:r>
    </w:p>
    <w:p>
      <w:pPr>
        <w:ind w:left="340"/>
        <w:spacing w:after="0" w:line="218"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ectPr>
          <w:pgSz w:w="11900" w:h="16838" w:orient="portrait"/>
          <w:cols w:equalWidth="0" w:num="2">
            <w:col w:w="4980" w:space="720"/>
            <w:col w:w="5080"/>
          </w:cols>
          <w:pgMar w:left="320" w:top="320" w:right="799" w:bottom="1440" w:gutter="0" w:footer="0" w:header="0"/>
          <w:type w:val="continuous"/>
        </w:sectPr>
      </w:pP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20" w:right="799" w:bottom="1440" w:gutter="0" w:footer="0" w:header="0"/>
          <w:type w:val="continuous"/>
        </w:sectPr>
      </w:pPr>
    </w:p>
    <w:bookmarkStart w:id="71" w:name="page72"/>
    <w:bookmarkEnd w:id="7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282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335280</wp:posOffset>
            </wp:positionV>
            <wp:extent cx="1216025" cy="351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1216025"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84D85"/>
        </w:rPr>
        <w:t>201 Third Street, Suite200</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84D85"/>
        </w:rPr>
        <w:t>San Francisco, CA 94103</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84D85"/>
        </w:rPr>
        <w:t>www.amplitude.com</w:t>
      </w:r>
    </w:p>
    <w:p>
      <w:pPr>
        <w:spacing w:after="0" w:line="200" w:lineRule="exact"/>
        <w:rPr>
          <w:sz w:val="20"/>
          <w:szCs w:val="20"/>
          <w:color w:val="auto"/>
        </w:rPr>
      </w:pPr>
    </w:p>
    <w:p>
      <w:pPr>
        <w:spacing w:after="0" w:line="3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11F21"/>
        </w:rPr>
        <w:t>May 9, 2022</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11F21"/>
        </w:rPr>
        <w:t xml:space="preserve">Thomas </w:t>
      </w:r>
      <w:r>
        <w:rPr>
          <w:rFonts w:ascii="Times New Roman" w:cs="Times New Roman" w:eastAsia="Times New Roman" w:hAnsi="Times New Roman"/>
          <w:sz w:val="18"/>
          <w:szCs w:val="18"/>
          <w:color w:val="333133"/>
        </w:rPr>
        <w:t>Hansen</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11F21"/>
        </w:rPr>
        <w:t>Dear Thomas,</w:t>
      </w:r>
    </w:p>
    <w:p>
      <w:pPr>
        <w:spacing w:after="0" w:line="157" w:lineRule="exact"/>
        <w:rPr>
          <w:sz w:val="20"/>
          <w:szCs w:val="20"/>
          <w:color w:val="auto"/>
        </w:rPr>
      </w:pPr>
    </w:p>
    <w:p>
      <w:pPr>
        <w:ind w:left="740" w:right="640"/>
        <w:spacing w:after="0" w:line="236" w:lineRule="auto"/>
        <w:rPr>
          <w:sz w:val="20"/>
          <w:szCs w:val="20"/>
          <w:color w:val="auto"/>
        </w:rPr>
      </w:pPr>
      <w:r>
        <w:rPr>
          <w:rFonts w:ascii="Times New Roman" w:cs="Times New Roman" w:eastAsia="Times New Roman" w:hAnsi="Times New Roman"/>
          <w:sz w:val="18"/>
          <w:szCs w:val="18"/>
          <w:color w:val="211F21"/>
        </w:rPr>
        <w:t xml:space="preserve">It is my pleasure to confirm our offer of employment </w:t>
      </w:r>
      <w:r>
        <w:rPr>
          <w:rFonts w:ascii="Times New Roman" w:cs="Times New Roman" w:eastAsia="Times New Roman" w:hAnsi="Times New Roman"/>
          <w:sz w:val="18"/>
          <w:szCs w:val="18"/>
          <w:color w:val="333133"/>
        </w:rPr>
        <w:t>to</w:t>
      </w:r>
      <w:r>
        <w:rPr>
          <w:rFonts w:ascii="Times New Roman" w:cs="Times New Roman" w:eastAsia="Times New Roman" w:hAnsi="Times New Roman"/>
          <w:sz w:val="18"/>
          <w:szCs w:val="18"/>
          <w:color w:val="211F21"/>
        </w:rPr>
        <w:t xml:space="preserve"> join Amplitude, Inc. ("Amplitude" or "the Company") working on our mission to </w:t>
      </w:r>
      <w:r>
        <w:rPr>
          <w:rFonts w:ascii="Times New Roman" w:cs="Times New Roman" w:eastAsia="Times New Roman" w:hAnsi="Times New Roman"/>
          <w:sz w:val="18"/>
          <w:szCs w:val="18"/>
          <w:color w:val="333133"/>
        </w:rPr>
        <w:t xml:space="preserve">help </w:t>
      </w:r>
      <w:r>
        <w:rPr>
          <w:rFonts w:ascii="Times New Roman" w:cs="Times New Roman" w:eastAsia="Times New Roman" w:hAnsi="Times New Roman"/>
          <w:sz w:val="18"/>
          <w:szCs w:val="18"/>
          <w:color w:val="211F21"/>
        </w:rPr>
        <w:t>the world build</w:t>
      </w:r>
      <w:r>
        <w:rPr>
          <w:rFonts w:ascii="Times New Roman" w:cs="Times New Roman" w:eastAsia="Times New Roman" w:hAnsi="Times New Roman"/>
          <w:sz w:val="18"/>
          <w:szCs w:val="18"/>
          <w:color w:val="333133"/>
        </w:rPr>
        <w:t xml:space="preserve"> better </w:t>
      </w:r>
      <w:r>
        <w:rPr>
          <w:rFonts w:ascii="Times New Roman" w:cs="Times New Roman" w:eastAsia="Times New Roman" w:hAnsi="Times New Roman"/>
          <w:sz w:val="18"/>
          <w:szCs w:val="18"/>
          <w:color w:val="211F21"/>
        </w:rPr>
        <w:t>products. The following represents the key elements of our offer, which is contingent upon the successful</w:t>
      </w:r>
      <w:r>
        <w:rPr>
          <w:rFonts w:ascii="Times New Roman" w:cs="Times New Roman" w:eastAsia="Times New Roman" w:hAnsi="Times New Roman"/>
          <w:sz w:val="18"/>
          <w:szCs w:val="18"/>
          <w:color w:val="333133"/>
        </w:rPr>
        <w:t xml:space="preserve"> </w:t>
      </w:r>
      <w:r>
        <w:rPr>
          <w:rFonts w:ascii="Times New Roman" w:cs="Times New Roman" w:eastAsia="Times New Roman" w:hAnsi="Times New Roman"/>
          <w:sz w:val="18"/>
          <w:szCs w:val="18"/>
          <w:color w:val="211F21"/>
        </w:rPr>
        <w:t>completion of a reference check and a background check.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Position:</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President</w:t>
            </w:r>
          </w:p>
        </w:tc>
      </w:tr>
      <w:tr>
        <w:trPr>
          <w:trHeight w:val="364"/>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Reports To:</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Spenser Skates, Chief Executive Officer</w:t>
            </w:r>
          </w:p>
        </w:tc>
      </w:tr>
      <w:tr>
        <w:trPr>
          <w:trHeight w:val="364"/>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Start Date:</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July 8, 2022</w:t>
            </w:r>
          </w:p>
        </w:tc>
      </w:tr>
      <w:tr>
        <w:trPr>
          <w:trHeight w:val="319"/>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Base Salary:</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$500,000</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211F21"/>
              </w:rPr>
              <w:t xml:space="preserve">00, expressed as an annualized figure, less payroll deductions and all </w:t>
            </w:r>
            <w:r>
              <w:rPr>
                <w:rFonts w:ascii="Times New Roman" w:cs="Times New Roman" w:eastAsia="Times New Roman" w:hAnsi="Times New Roman"/>
                <w:sz w:val="18"/>
                <w:szCs w:val="18"/>
                <w:color w:val="333133"/>
              </w:rPr>
              <w:t>required</w:t>
            </w:r>
          </w:p>
        </w:tc>
      </w:tr>
      <w:tr>
        <w:trPr>
          <w:trHeight w:val="234"/>
        </w:trPr>
        <w:tc>
          <w:tcPr>
            <w:tcW w:w="300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withholdings. You will be paid semi-monthly, in accordance with Amplitude's payroll practices.</w:t>
            </w:r>
          </w:p>
        </w:tc>
      </w:tr>
      <w:tr>
        <w:trPr>
          <w:trHeight w:val="364"/>
        </w:trPr>
        <w:tc>
          <w:tcPr>
            <w:tcW w:w="3000" w:type="dxa"/>
            <w:vAlign w:val="bottom"/>
          </w:tcPr>
          <w:p>
            <w:pPr>
              <w:spacing w:after="0"/>
              <w:rPr>
                <w:sz w:val="24"/>
                <w:szCs w:val="24"/>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 xml:space="preserve">Your position </w:t>
            </w:r>
            <w:r>
              <w:rPr>
                <w:rFonts w:ascii="Times New Roman" w:cs="Times New Roman" w:eastAsia="Times New Roman" w:hAnsi="Times New Roman"/>
                <w:sz w:val="18"/>
                <w:szCs w:val="18"/>
                <w:color w:val="333133"/>
              </w:rPr>
              <w:t>is</w:t>
            </w:r>
            <w:r>
              <w:rPr>
                <w:rFonts w:ascii="Times New Roman" w:cs="Times New Roman" w:eastAsia="Times New Roman" w:hAnsi="Times New Roman"/>
                <w:sz w:val="18"/>
                <w:szCs w:val="18"/>
                <w:color w:val="211F21"/>
              </w:rPr>
              <w:t xml:space="preserve"> exempt under the Fair Labor Standards Act and is not eligible for overtime.</w:t>
            </w:r>
          </w:p>
        </w:tc>
      </w:tr>
      <w:tr>
        <w:trPr>
          <w:trHeight w:val="319"/>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Variable Compensation:</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You will have the ability to earn a bonus amount of $500,000.00. The details of your variable</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compensation including On-Target Earnings, Quotas, Accelerators, Bonuses, Payouts and Draws,</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along with other important information are in the Amplitude, Inc. Variable Compensation Plan,</w:t>
            </w:r>
          </w:p>
        </w:tc>
      </w:tr>
      <w:tr>
        <w:trPr>
          <w:trHeight w:val="234"/>
        </w:trPr>
        <w:tc>
          <w:tcPr>
            <w:tcW w:w="300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which both you and the Company will sign.</w:t>
            </w:r>
          </w:p>
        </w:tc>
      </w:tr>
      <w:tr>
        <w:trPr>
          <w:trHeight w:val="319"/>
        </w:trPr>
        <w:tc>
          <w:tcPr>
            <w:tcW w:w="3000" w:type="dxa"/>
            <w:vAlign w:val="bottom"/>
          </w:tcPr>
          <w:p>
            <w:pPr>
              <w:ind w:left="740"/>
              <w:spacing w:after="0"/>
              <w:rPr>
                <w:sz w:val="20"/>
                <w:szCs w:val="20"/>
                <w:color w:val="auto"/>
              </w:rPr>
            </w:pPr>
            <w:r>
              <w:rPr>
                <w:rFonts w:ascii="Times New Roman" w:cs="Times New Roman" w:eastAsia="Times New Roman" w:hAnsi="Times New Roman"/>
                <w:sz w:val="18"/>
                <w:szCs w:val="18"/>
                <w:color w:val="211F21"/>
              </w:rPr>
              <w:t>Common Stock:</w:t>
            </w: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Subject to the approval of the Company's Board of Directors, you will be granted an option to</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purchase 675,000 shares of the Company's Common Stock. The exercise price </w:t>
            </w:r>
            <w:r>
              <w:rPr>
                <w:rFonts w:ascii="Times New Roman" w:cs="Times New Roman" w:eastAsia="Times New Roman" w:hAnsi="Times New Roman"/>
                <w:sz w:val="18"/>
                <w:szCs w:val="18"/>
                <w:color w:val="333133"/>
              </w:rPr>
              <w:t>will</w:t>
            </w:r>
            <w:r>
              <w:rPr>
                <w:rFonts w:ascii="Times New Roman" w:cs="Times New Roman" w:eastAsia="Times New Roman" w:hAnsi="Times New Roman"/>
                <w:sz w:val="18"/>
                <w:szCs w:val="18"/>
                <w:color w:val="211F21"/>
              </w:rPr>
              <w:t xml:space="preserve"> be equal to the</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fair market value per share on the date of grant, as determined by the Company's Board of Directors</w:t>
            </w:r>
            <w:r>
              <w:rPr>
                <w:rFonts w:ascii="Times New Roman" w:cs="Times New Roman" w:eastAsia="Times New Roman" w:hAnsi="Times New Roman"/>
                <w:sz w:val="18"/>
                <w:szCs w:val="18"/>
                <w:color w:val="494949"/>
              </w:rPr>
              <w:t>.</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Shares will vest in equal monthly installments over the </w:t>
            </w:r>
            <w:r>
              <w:rPr>
                <w:rFonts w:ascii="Times New Roman" w:cs="Times New Roman" w:eastAsia="Times New Roman" w:hAnsi="Times New Roman"/>
                <w:sz w:val="18"/>
                <w:szCs w:val="18"/>
                <w:color w:val="333133"/>
              </w:rPr>
              <w:t>next</w:t>
            </w:r>
            <w:r>
              <w:rPr>
                <w:rFonts w:ascii="Times New Roman" w:cs="Times New Roman" w:eastAsia="Times New Roman" w:hAnsi="Times New Roman"/>
                <w:sz w:val="18"/>
                <w:szCs w:val="18"/>
                <w:color w:val="211F21"/>
              </w:rPr>
              <w:t xml:space="preserve"> 60 months of service. This </w:t>
            </w:r>
            <w:r>
              <w:rPr>
                <w:rFonts w:ascii="Times New Roman" w:cs="Times New Roman" w:eastAsia="Times New Roman" w:hAnsi="Times New Roman"/>
                <w:sz w:val="18"/>
                <w:szCs w:val="18"/>
                <w:color w:val="333133"/>
              </w:rPr>
              <w:t>is</w:t>
            </w:r>
            <w:r>
              <w:rPr>
                <w:rFonts w:ascii="Times New Roman" w:cs="Times New Roman" w:eastAsia="Times New Roman" w:hAnsi="Times New Roman"/>
                <w:sz w:val="18"/>
                <w:szCs w:val="18"/>
                <w:color w:val="211F21"/>
              </w:rPr>
              <w:t xml:space="preserve"> only a</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general description and </w:t>
            </w:r>
            <w:r>
              <w:rPr>
                <w:rFonts w:ascii="Times New Roman" w:cs="Times New Roman" w:eastAsia="Times New Roman" w:hAnsi="Times New Roman"/>
                <w:sz w:val="18"/>
                <w:szCs w:val="18"/>
                <w:color w:val="333133"/>
              </w:rPr>
              <w:t>this</w:t>
            </w:r>
            <w:r>
              <w:rPr>
                <w:rFonts w:ascii="Times New Roman" w:cs="Times New Roman" w:eastAsia="Times New Roman" w:hAnsi="Times New Roman"/>
                <w:sz w:val="18"/>
                <w:szCs w:val="18"/>
                <w:color w:val="211F21"/>
              </w:rPr>
              <w:t xml:space="preserve"> option grant shall be subject </w:t>
            </w:r>
            <w:r>
              <w:rPr>
                <w:rFonts w:ascii="Times New Roman" w:cs="Times New Roman" w:eastAsia="Times New Roman" w:hAnsi="Times New Roman"/>
                <w:sz w:val="18"/>
                <w:szCs w:val="18"/>
                <w:color w:val="333133"/>
              </w:rPr>
              <w:t>to</w:t>
            </w:r>
            <w:r>
              <w:rPr>
                <w:rFonts w:ascii="Times New Roman" w:cs="Times New Roman" w:eastAsia="Times New Roman" w:hAnsi="Times New Roman"/>
                <w:sz w:val="18"/>
                <w:szCs w:val="18"/>
                <w:color w:val="211F21"/>
              </w:rPr>
              <w:t xml:space="preserve"> the terms and conditions of the</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Company's 2021 </w:t>
            </w:r>
            <w:r>
              <w:rPr>
                <w:rFonts w:ascii="Times New Roman" w:cs="Times New Roman" w:eastAsia="Times New Roman" w:hAnsi="Times New Roman"/>
                <w:sz w:val="18"/>
                <w:szCs w:val="18"/>
                <w:color w:val="333133"/>
              </w:rPr>
              <w:t>Incentive</w:t>
            </w:r>
            <w:r>
              <w:rPr>
                <w:rFonts w:ascii="Times New Roman" w:cs="Times New Roman" w:eastAsia="Times New Roman" w:hAnsi="Times New Roman"/>
                <w:sz w:val="18"/>
                <w:szCs w:val="18"/>
                <w:color w:val="211F21"/>
              </w:rPr>
              <w:t xml:space="preserve"> Award Plan (as amended from time to time, the "Plan") and Stock Option</w:t>
            </w:r>
          </w:p>
        </w:tc>
      </w:tr>
      <w:tr>
        <w:trPr>
          <w:trHeight w:val="234"/>
        </w:trPr>
        <w:tc>
          <w:tcPr>
            <w:tcW w:w="300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Agreement thereunder.</w:t>
            </w:r>
          </w:p>
        </w:tc>
      </w:tr>
      <w:tr>
        <w:trPr>
          <w:trHeight w:val="319"/>
        </w:trPr>
        <w:tc>
          <w:tcPr>
            <w:tcW w:w="3000" w:type="dxa"/>
            <w:vAlign w:val="bottom"/>
          </w:tcPr>
          <w:p>
            <w:pPr>
              <w:spacing w:after="0"/>
              <w:rPr>
                <w:sz w:val="24"/>
                <w:szCs w:val="24"/>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Subject to the approval of the Company's Board of Directors (or a committee thereof) you will be</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granted 1,000,000 Restricted Stock Units ("RSUs"). Any RSUs granted to you will be subject to the</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approval of the Board or applicable committee and will be governed by the </w:t>
            </w:r>
            <w:r>
              <w:rPr>
                <w:rFonts w:ascii="Times New Roman" w:cs="Times New Roman" w:eastAsia="Times New Roman" w:hAnsi="Times New Roman"/>
                <w:sz w:val="18"/>
                <w:szCs w:val="18"/>
                <w:color w:val="333133"/>
              </w:rPr>
              <w:t>terms</w:t>
            </w:r>
            <w:r>
              <w:rPr>
                <w:rFonts w:ascii="Times New Roman" w:cs="Times New Roman" w:eastAsia="Times New Roman" w:hAnsi="Times New Roman"/>
                <w:sz w:val="18"/>
                <w:szCs w:val="18"/>
                <w:color w:val="211F21"/>
              </w:rPr>
              <w:t xml:space="preserve"> and conditions of</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the applicable grant agreement under </w:t>
            </w:r>
            <w:r>
              <w:rPr>
                <w:rFonts w:ascii="Times New Roman" w:cs="Times New Roman" w:eastAsia="Times New Roman" w:hAnsi="Times New Roman"/>
                <w:sz w:val="18"/>
                <w:szCs w:val="18"/>
                <w:color w:val="333133"/>
              </w:rPr>
              <w:t>the</w:t>
            </w:r>
            <w:r>
              <w:rPr>
                <w:rFonts w:ascii="Times New Roman" w:cs="Times New Roman" w:eastAsia="Times New Roman" w:hAnsi="Times New Roman"/>
                <w:sz w:val="18"/>
                <w:szCs w:val="18"/>
                <w:color w:val="211F21"/>
              </w:rPr>
              <w:t xml:space="preserve"> Company's 2021 </w:t>
            </w:r>
            <w:r>
              <w:rPr>
                <w:rFonts w:ascii="Times New Roman" w:cs="Times New Roman" w:eastAsia="Times New Roman" w:hAnsi="Times New Roman"/>
                <w:sz w:val="18"/>
                <w:szCs w:val="18"/>
                <w:color w:val="333133"/>
              </w:rPr>
              <w:t>Incentive</w:t>
            </w:r>
            <w:r>
              <w:rPr>
                <w:rFonts w:ascii="Times New Roman" w:cs="Times New Roman" w:eastAsia="Times New Roman" w:hAnsi="Times New Roman"/>
                <w:sz w:val="18"/>
                <w:szCs w:val="18"/>
                <w:color w:val="211F21"/>
              </w:rPr>
              <w:t xml:space="preserve"> Award Plan </w:t>
            </w:r>
            <w:r>
              <w:rPr>
                <w:rFonts w:ascii="Times New Roman" w:cs="Times New Roman" w:eastAsia="Times New Roman" w:hAnsi="Times New Roman"/>
                <w:sz w:val="18"/>
                <w:szCs w:val="18"/>
                <w:color w:val="333133"/>
              </w:rPr>
              <w:t>(as</w:t>
            </w:r>
            <w:r>
              <w:rPr>
                <w:rFonts w:ascii="Times New Roman" w:cs="Times New Roman" w:eastAsia="Times New Roman" w:hAnsi="Times New Roman"/>
                <w:sz w:val="18"/>
                <w:szCs w:val="18"/>
                <w:color w:val="211F21"/>
              </w:rPr>
              <w:t xml:space="preserve"> amended from</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time to time, the "Plan"). The RSUs will vest over 20 equal quarterly installments, subject to your</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continued service with the Company through each such date</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211F21"/>
              </w:rPr>
              <w:t xml:space="preserve"> or as otherwise described </w:t>
            </w:r>
            <w:r>
              <w:rPr>
                <w:rFonts w:ascii="Times New Roman" w:cs="Times New Roman" w:eastAsia="Times New Roman" w:hAnsi="Times New Roman"/>
                <w:sz w:val="18"/>
                <w:szCs w:val="18"/>
                <w:color w:val="333133"/>
              </w:rPr>
              <w:t>in the</w:t>
            </w:r>
            <w:r>
              <w:rPr>
                <w:rFonts w:ascii="Times New Roman" w:cs="Times New Roman" w:eastAsia="Times New Roman" w:hAnsi="Times New Roman"/>
                <w:sz w:val="18"/>
                <w:szCs w:val="18"/>
                <w:color w:val="211F21"/>
              </w:rPr>
              <w:t xml:space="preserve"> Plan or</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333133"/>
              </w:rPr>
              <w:t xml:space="preserve">the </w:t>
            </w:r>
            <w:r>
              <w:rPr>
                <w:rFonts w:ascii="Times New Roman" w:cs="Times New Roman" w:eastAsia="Times New Roman" w:hAnsi="Times New Roman"/>
                <w:sz w:val="18"/>
                <w:szCs w:val="18"/>
                <w:color w:val="211F21"/>
              </w:rPr>
              <w:t>award agreement</w:t>
            </w:r>
            <w:r>
              <w:rPr>
                <w:rFonts w:ascii="Times New Roman" w:cs="Times New Roman" w:eastAsia="Times New Roman" w:hAnsi="Times New Roman"/>
                <w:sz w:val="18"/>
                <w:szCs w:val="18"/>
                <w:color w:val="333133"/>
              </w:rPr>
              <w:t xml:space="preserve"> issued </w:t>
            </w:r>
            <w:r>
              <w:rPr>
                <w:rFonts w:ascii="Times New Roman" w:cs="Times New Roman" w:eastAsia="Times New Roman" w:hAnsi="Times New Roman"/>
                <w:sz w:val="18"/>
                <w:szCs w:val="18"/>
                <w:color w:val="211F21"/>
              </w:rPr>
              <w:t>to you thereunder. Further details on the Plan and any specific RSU</w:t>
            </w:r>
          </w:p>
        </w:tc>
      </w:tr>
      <w:tr>
        <w:trPr>
          <w:trHeight w:val="189"/>
        </w:trPr>
        <w:tc>
          <w:tcPr>
            <w:tcW w:w="3000" w:type="dxa"/>
            <w:vAlign w:val="bottom"/>
          </w:tcPr>
          <w:p>
            <w:pPr>
              <w:spacing w:after="0"/>
              <w:rPr>
                <w:sz w:val="16"/>
                <w:szCs w:val="16"/>
                <w:color w:val="auto"/>
              </w:rPr>
            </w:pPr>
          </w:p>
        </w:tc>
        <w:tc>
          <w:tcPr>
            <w:tcW w:w="824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211F21"/>
              </w:rPr>
              <w:t xml:space="preserve">grant </w:t>
            </w:r>
            <w:r>
              <w:rPr>
                <w:rFonts w:ascii="Times New Roman" w:cs="Times New Roman" w:eastAsia="Times New Roman" w:hAnsi="Times New Roman"/>
                <w:sz w:val="18"/>
                <w:szCs w:val="18"/>
                <w:color w:val="333133"/>
              </w:rPr>
              <w:t>to</w:t>
            </w:r>
            <w:r>
              <w:rPr>
                <w:rFonts w:ascii="Times New Roman" w:cs="Times New Roman" w:eastAsia="Times New Roman" w:hAnsi="Times New Roman"/>
                <w:sz w:val="18"/>
                <w:szCs w:val="18"/>
                <w:color w:val="211F21"/>
              </w:rPr>
              <w:t xml:space="preserve"> you will be provided upon approval of such grant by </w:t>
            </w:r>
            <w:r>
              <w:rPr>
                <w:rFonts w:ascii="Times New Roman" w:cs="Times New Roman" w:eastAsia="Times New Roman" w:hAnsi="Times New Roman"/>
                <w:sz w:val="18"/>
                <w:szCs w:val="18"/>
                <w:color w:val="333133"/>
              </w:rPr>
              <w:t>the</w:t>
            </w:r>
            <w:r>
              <w:rPr>
                <w:rFonts w:ascii="Times New Roman" w:cs="Times New Roman" w:eastAsia="Times New Roman" w:hAnsi="Times New Roman"/>
                <w:sz w:val="18"/>
                <w:szCs w:val="18"/>
                <w:color w:val="211F21"/>
              </w:rPr>
              <w:t xml:space="preserve"> Company's Board of Directors </w:t>
            </w:r>
            <w:r>
              <w:rPr>
                <w:rFonts w:ascii="Times New Roman" w:cs="Times New Roman" w:eastAsia="Times New Roman" w:hAnsi="Times New Roman"/>
                <w:sz w:val="18"/>
                <w:szCs w:val="18"/>
                <w:color w:val="333133"/>
              </w:rPr>
              <w:t>(or</w:t>
            </w:r>
          </w:p>
        </w:tc>
      </w:tr>
      <w:tr>
        <w:trPr>
          <w:trHeight w:val="234"/>
        </w:trPr>
        <w:tc>
          <w:tcPr>
            <w:tcW w:w="300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211F21"/>
              </w:rPr>
              <w:t>a committee thereof).</w:t>
            </w:r>
          </w:p>
        </w:tc>
      </w:tr>
      <w:tr>
        <w:trPr>
          <w:trHeight w:val="533"/>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384D85"/>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1282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534035</wp:posOffset>
            </wp:positionV>
            <wp:extent cx="1216025" cy="3511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216025" cy="351155"/>
                    </a:xfrm>
                    <a:prstGeom prst="rect">
                      <a:avLst/>
                    </a:prstGeom>
                    <a:noFill/>
                  </pic:spPr>
                </pic:pic>
              </a:graphicData>
            </a:graphic>
          </wp:anchor>
        </w:drawing>
        <w:t>201 Third Street, Suite200</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84D85"/>
        </w:rPr>
        <w:t>San Francisco, CA 94103</w:t>
      </w:r>
    </w:p>
    <w:p>
      <w:pPr>
        <w:spacing w:after="0" w:line="1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384D85"/>
        </w:rPr>
        <w:t>www.amplitude.com</w:t>
      </w:r>
    </w:p>
    <w:p>
      <w:pPr>
        <w:spacing w:after="0" w:line="180" w:lineRule="exact"/>
        <w:rPr>
          <w:sz w:val="20"/>
          <w:szCs w:val="20"/>
          <w:color w:val="auto"/>
        </w:rPr>
      </w:pPr>
    </w:p>
    <w:p>
      <w:pPr>
        <w:ind w:left="2820" w:right="620"/>
        <w:spacing w:after="0" w:line="232" w:lineRule="auto"/>
        <w:rPr>
          <w:sz w:val="20"/>
          <w:szCs w:val="20"/>
          <w:color w:val="auto"/>
        </w:rPr>
      </w:pPr>
      <w:r>
        <w:rPr>
          <w:rFonts w:ascii="Times New Roman" w:cs="Times New Roman" w:eastAsia="Times New Roman" w:hAnsi="Times New Roman"/>
          <w:sz w:val="18"/>
          <w:szCs w:val="18"/>
          <w:color w:val="333133"/>
        </w:rPr>
        <w:t xml:space="preserve">In </w:t>
      </w:r>
      <w:r>
        <w:rPr>
          <w:rFonts w:ascii="Times New Roman" w:cs="Times New Roman" w:eastAsia="Times New Roman" w:hAnsi="Times New Roman"/>
          <w:sz w:val="18"/>
          <w:szCs w:val="18"/>
          <w:color w:val="211F21"/>
        </w:rPr>
        <w:t>the event there is a</w:t>
      </w:r>
      <w:r>
        <w:rPr>
          <w:rFonts w:ascii="Times New Roman" w:cs="Times New Roman" w:eastAsia="Times New Roman" w:hAnsi="Times New Roman"/>
          <w:sz w:val="18"/>
          <w:szCs w:val="18"/>
          <w:color w:val="333133"/>
        </w:rPr>
        <w:t xml:space="preserve"> Termination </w:t>
      </w:r>
      <w:r>
        <w:rPr>
          <w:rFonts w:ascii="Times New Roman" w:cs="Times New Roman" w:eastAsia="Times New Roman" w:hAnsi="Times New Roman"/>
          <w:sz w:val="18"/>
          <w:szCs w:val="18"/>
          <w:color w:val="211F21"/>
        </w:rPr>
        <w:t>of Service (as defined</w:t>
      </w:r>
      <w:r>
        <w:rPr>
          <w:rFonts w:ascii="Times New Roman" w:cs="Times New Roman" w:eastAsia="Times New Roman" w:hAnsi="Times New Roman"/>
          <w:sz w:val="18"/>
          <w:szCs w:val="18"/>
          <w:color w:val="333133"/>
        </w:rPr>
        <w:t xml:space="preserve"> in </w:t>
      </w:r>
      <w:r>
        <w:rPr>
          <w:rFonts w:ascii="Times New Roman" w:cs="Times New Roman" w:eastAsia="Times New Roman" w:hAnsi="Times New Roman"/>
          <w:sz w:val="18"/>
          <w:szCs w:val="18"/>
          <w:color w:val="211F21"/>
        </w:rPr>
        <w:t>the Plan) without Cause (as defined</w:t>
      </w:r>
      <w:r>
        <w:rPr>
          <w:rFonts w:ascii="Times New Roman" w:cs="Times New Roman" w:eastAsia="Times New Roman" w:hAnsi="Times New Roman"/>
          <w:sz w:val="18"/>
          <w:szCs w:val="18"/>
          <w:color w:val="333133"/>
        </w:rPr>
        <w:t xml:space="preserve"> in </w:t>
      </w:r>
      <w:r>
        <w:rPr>
          <w:rFonts w:ascii="Times New Roman" w:cs="Times New Roman" w:eastAsia="Times New Roman" w:hAnsi="Times New Roman"/>
          <w:sz w:val="18"/>
          <w:szCs w:val="18"/>
          <w:color w:val="211F21"/>
        </w:rPr>
        <w:t xml:space="preserve">the Plan) or you leave for Good Reason (as defined below) during the period beginning </w:t>
      </w:r>
      <w:r>
        <w:rPr>
          <w:rFonts w:ascii="Times New Roman" w:cs="Times New Roman" w:eastAsia="Times New Roman" w:hAnsi="Times New Roman"/>
          <w:sz w:val="18"/>
          <w:szCs w:val="18"/>
          <w:color w:val="333133"/>
        </w:rPr>
        <w:t>three</w:t>
      </w:r>
      <w:r>
        <w:rPr>
          <w:rFonts w:ascii="Times New Roman" w:cs="Times New Roman" w:eastAsia="Times New Roman" w:hAnsi="Times New Roman"/>
          <w:sz w:val="18"/>
          <w:szCs w:val="18"/>
          <w:color w:val="211F21"/>
        </w:rPr>
        <w:t xml:space="preserve"> months prior to and ending 12 months </w:t>
      </w:r>
      <w:r>
        <w:rPr>
          <w:rFonts w:ascii="Times New Roman" w:cs="Times New Roman" w:eastAsia="Times New Roman" w:hAnsi="Times New Roman"/>
          <w:sz w:val="18"/>
          <w:szCs w:val="18"/>
          <w:color w:val="1F1F1F"/>
        </w:rPr>
        <w:t>following the closing of a Change in Control (as defined in</w:t>
      </w:r>
      <w:r>
        <w:rPr>
          <w:rFonts w:ascii="Times New Roman" w:cs="Times New Roman" w:eastAsia="Times New Roman" w:hAnsi="Times New Roman"/>
          <w:sz w:val="18"/>
          <w:szCs w:val="18"/>
          <w:color w:val="211F21"/>
        </w:rPr>
        <w:t xml:space="preserve"> </w:t>
      </w:r>
      <w:r>
        <w:rPr>
          <w:rFonts w:ascii="Times New Roman" w:cs="Times New Roman" w:eastAsia="Times New Roman" w:hAnsi="Times New Roman"/>
          <w:sz w:val="18"/>
          <w:szCs w:val="18"/>
          <w:color w:val="1F1F1F"/>
        </w:rPr>
        <w:t>the Plan), 100% of your then-unvested RSUs and options shall become fully vested.</w:t>
      </w:r>
    </w:p>
    <w:p>
      <w:pPr>
        <w:spacing w:after="0" w:line="130" w:lineRule="exact"/>
        <w:rPr>
          <w:sz w:val="20"/>
          <w:szCs w:val="20"/>
          <w:color w:val="auto"/>
        </w:rPr>
      </w:pPr>
    </w:p>
    <w:p>
      <w:pPr>
        <w:ind w:left="2820" w:right="420"/>
        <w:spacing w:after="0" w:line="221" w:lineRule="auto"/>
        <w:rPr>
          <w:sz w:val="20"/>
          <w:szCs w:val="20"/>
          <w:color w:val="auto"/>
        </w:rPr>
      </w:pPr>
      <w:r>
        <w:rPr>
          <w:rFonts w:ascii="Times New Roman" w:cs="Times New Roman" w:eastAsia="Times New Roman" w:hAnsi="Times New Roman"/>
          <w:sz w:val="18"/>
          <w:szCs w:val="18"/>
          <w:color w:val="1F1F1F"/>
        </w:rPr>
        <w:t>Definition of Good Reason. For purposes hereof, "Good Reason" shall mean that you have complied in all material respects with the "Good Reason Process" (hereinafter defined) following the occurrence of any of the following events, without your prior written consent: (i) a reduction of your Annual Base Salary by more than 10% (except in connection with an across-the-board reduction in the salary of all similarly situated employees); (ii) a material diminution of your authority, duties or responsibilities, provided that a mere change of title alone shall not constitute such a material diminution and that a reduction in your authority, duties and/or responsibilities by virtue of the fact that the Company has become part of a larger organization shall not by itself constitute grounds for a termination for Good Reason as long as you retain substantially the same authority, duties and responsibilities of a division, subsidiary or business unit that constitutes substantially the business of the Company; or (iii) relocation of your principal place of employment by more than 30 miles from your then-current principal place of employment.</w:t>
      </w:r>
    </w:p>
    <w:p>
      <w:pPr>
        <w:spacing w:after="0" w:line="153" w:lineRule="exact"/>
        <w:rPr>
          <w:sz w:val="20"/>
          <w:szCs w:val="20"/>
          <w:color w:val="auto"/>
        </w:rPr>
      </w:pPr>
    </w:p>
    <w:p>
      <w:pPr>
        <w:ind w:left="2820" w:right="420"/>
        <w:spacing w:after="0" w:line="222" w:lineRule="auto"/>
        <w:rPr>
          <w:sz w:val="20"/>
          <w:szCs w:val="20"/>
          <w:color w:val="auto"/>
        </w:rPr>
      </w:pPr>
      <w:r>
        <w:rPr>
          <w:rFonts w:ascii="Times New Roman" w:cs="Times New Roman" w:eastAsia="Times New Roman" w:hAnsi="Times New Roman"/>
          <w:sz w:val="18"/>
          <w:szCs w:val="18"/>
          <w:color w:val="1F1F1F"/>
        </w:rPr>
        <w:t>Definition of Good Reason Process. For the purposes hereof, "Good Reason Process" shall mean that (A) you have reasonably determined in good faith that a "Good Reason" condition has occurred; (B) you have notified the Company in writing of the first occurrence of the Good Reason condition within 90 days of the first time the you become aware of the occurrence of such condition; (C) you have cooperated in good faith with the Company's efforts, for a period not less than 30 days immediately following the Company's receipt of such notice (the "Cure Period"), to remedy the condition; (D) notwithstanding such efforts, the Good Reason condition continues to exist; and (E) you terminate your employment with the Company within 30 days after the end of the Cure Period. If the Company cures the Good Reason condition during the Cure Period, Good Reason shall be deemed not to have occurred.</w:t>
      </w:r>
    </w:p>
    <w:p>
      <w:pPr>
        <w:sectPr>
          <w:pgSz w:w="11900" w:h="16838" w:orient="portrait"/>
          <w:cols w:equalWidth="0" w:num="1">
            <w:col w:w="10480"/>
          </w:cols>
          <w:pgMar w:left="1060" w:top="912" w:right="3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F1F1F"/>
        </w:rPr>
        <w:t>Benefits: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560"/>
        <w:spacing w:after="0" w:line="247" w:lineRule="auto"/>
        <w:rPr>
          <w:sz w:val="20"/>
          <w:szCs w:val="20"/>
          <w:color w:val="auto"/>
        </w:rPr>
      </w:pPr>
      <w:r>
        <w:rPr>
          <w:rFonts w:ascii="Times New Roman" w:cs="Times New Roman" w:eastAsia="Times New Roman" w:hAnsi="Times New Roman"/>
          <w:sz w:val="17"/>
          <w:szCs w:val="17"/>
          <w:color w:val="1F1F1F"/>
        </w:rPr>
        <w:t>Amplitude has a comprehensive benefits package for employees, including medical, dental, vision, 401(k), commuter benefits, pre-tax spending accounts, wellness, paid time off and sick leave programs available for you to participate in subject to the Company's and the plans' eligibility requirements as described in benefits documents that will be provided to you on your Start Date.</w:t>
      </w:r>
    </w:p>
    <w:p>
      <w:pPr>
        <w:spacing w:after="0" w:line="126" w:lineRule="exact"/>
        <w:rPr>
          <w:sz w:val="20"/>
          <w:szCs w:val="20"/>
          <w:color w:val="auto"/>
        </w:rPr>
      </w:pPr>
    </w:p>
    <w:p>
      <w:pPr>
        <w:sectPr>
          <w:pgSz w:w="11900" w:h="16838" w:orient="portrait"/>
          <w:cols w:equalWidth="0" w:num="2">
            <w:col w:w="2100" w:space="720"/>
            <w:col w:w="7660"/>
          </w:cols>
          <w:pgMar w:left="1060" w:top="912" w:right="359"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17"/>
          <w:szCs w:val="17"/>
          <w:color w:val="1F1F1F"/>
        </w:rPr>
        <w:t>Healthcare benefits are effective on your date of hire.</w:t>
      </w:r>
    </w:p>
    <w:p>
      <w:pPr>
        <w:sectPr>
          <w:pgSz w:w="11900" w:h="16838" w:orient="portrait"/>
          <w:cols w:equalWidth="0" w:num="1">
            <w:col w:w="10480"/>
          </w:cols>
          <w:pgMar w:left="1060" w:top="912" w:right="359" w:bottom="1440" w:gutter="0" w:footer="0" w:header="0"/>
          <w:type w:val="continuous"/>
        </w:sectPr>
      </w:pPr>
    </w:p>
    <w:p>
      <w:pPr>
        <w:spacing w:after="0" w:line="169"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8"/>
          <w:szCs w:val="18"/>
          <w:color w:val="1F1F1F"/>
        </w:rPr>
        <w:t>By accepting this contingent offer, you understand that Amplitude Inc. is an "at-will" employer. This means that employment with Amplitude is not for a specific term and can be terminated by you or Amplitude at any time, for any reason, with or without cause or notice. The Company retains the right to reassign, transfer and change the employee's job duties, benefits and compensation at any time with or without notice, and with or without cause, in its sole discretion. The at-will nature of your employment relationship shall remain unchanged during your tenure as an employee and may only be changed by the expressed written agreement that is signed by the Company's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417830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60" w:top="912" w:right="35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384D85"/>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1282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534035</wp:posOffset>
            </wp:positionV>
            <wp:extent cx="1216025" cy="3511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216025" cy="351155"/>
                    </a:xfrm>
                    <a:prstGeom prst="rect">
                      <a:avLst/>
                    </a:prstGeom>
                    <a:noFill/>
                  </pic:spPr>
                </pic:pic>
              </a:graphicData>
            </a:graphic>
          </wp:anchor>
        </w:drawing>
        <w:t>201 Third Street, Suite200</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84D85"/>
        </w:rPr>
        <w:t>San Francisco, CA 94103</w:t>
      </w:r>
    </w:p>
    <w:p>
      <w:pPr>
        <w:spacing w:after="0" w:line="1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384D85"/>
        </w:rPr>
        <w:t>www.amplitude.com</w:t>
      </w:r>
    </w:p>
    <w:p>
      <w:pPr>
        <w:spacing w:after="0" w:line="180" w:lineRule="exact"/>
        <w:rPr>
          <w:sz w:val="20"/>
          <w:szCs w:val="20"/>
          <w:color w:val="auto"/>
        </w:rPr>
      </w:pPr>
    </w:p>
    <w:p>
      <w:pPr>
        <w:ind w:right="440"/>
        <w:spacing w:after="0" w:line="221" w:lineRule="auto"/>
        <w:rPr>
          <w:sz w:val="20"/>
          <w:szCs w:val="20"/>
          <w:color w:val="auto"/>
        </w:rPr>
      </w:pPr>
      <w:r>
        <w:rPr>
          <w:rFonts w:ascii="Times New Roman" w:cs="Times New Roman" w:eastAsia="Times New Roman" w:hAnsi="Times New Roman"/>
          <w:sz w:val="18"/>
          <w:szCs w:val="18"/>
          <w:color w:val="1F1F1F"/>
        </w:rPr>
        <w:t xml:space="preserve">By signing this letter, you confirm with Amplitude that you are under no contractual or other legal obligations that would prohibit you from performing these duties to the Company. This offer of employment with the Company is contingent upon (a) our satisfactory completion of reference and background checks, (b) proof of your authorization to work in the United States (to be provided by you within three business days of your first day of employment), (c) your execution and delivery of the Confidential Information and Intellectual Property Assignment Agreement, and (d) your acknowledgement of receipt of the Employee Handbook. This offer of employment, and your continued employment with the Company, is contingent upon and shall be considered </w:t>
      </w:r>
      <w:r>
        <w:rPr>
          <w:rFonts w:ascii="Times New Roman" w:cs="Times New Roman" w:eastAsia="Times New Roman" w:hAnsi="Times New Roman"/>
          <w:sz w:val="18"/>
          <w:szCs w:val="18"/>
          <w:color w:val="1D1C1C"/>
        </w:rPr>
        <w:t>null and void if the proof required in (b) is not</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1D1C1C"/>
        </w:rPr>
        <w:t>provided to Company within the time frame allotted herein or if your authorization to work in the United States expires and is not extended or renewed after you have commenced work with the Company. This letter is the full and complete agreement between you and the</w:t>
      </w:r>
    </w:p>
    <w:p>
      <w:pPr>
        <w:spacing w:after="0" w:line="5" w:lineRule="exact"/>
        <w:rPr>
          <w:sz w:val="20"/>
          <w:szCs w:val="20"/>
          <w:color w:val="auto"/>
        </w:rPr>
      </w:pPr>
    </w:p>
    <w:p>
      <w:pPr>
        <w:ind w:right="860"/>
        <w:spacing w:after="0" w:line="225" w:lineRule="auto"/>
        <w:rPr>
          <w:sz w:val="20"/>
          <w:szCs w:val="20"/>
          <w:color w:val="auto"/>
        </w:rPr>
      </w:pPr>
      <w:r>
        <w:rPr>
          <w:rFonts w:ascii="Times New Roman" w:cs="Times New Roman" w:eastAsia="Times New Roman" w:hAnsi="Times New Roman"/>
          <w:sz w:val="18"/>
          <w:szCs w:val="18"/>
          <w:color w:val="1D1C1C"/>
        </w:rPr>
        <w:t>Company regarding our offer of employment to you and replaces any prior communication between you and the Company about your employment terms.</w:t>
      </w:r>
    </w:p>
    <w:p>
      <w:pPr>
        <w:spacing w:after="0" w:line="145"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1D1C1C"/>
        </w:rPr>
        <w:t>Thomas, we look forward to having you with us and are confident that you will become a valuable member of our team and that with your help, we will accomplish our mission of helping companies build better products</w:t>
      </w:r>
      <w:r>
        <w:rPr>
          <w:rFonts w:ascii="Times New Roman" w:cs="Times New Roman" w:eastAsia="Times New Roman" w:hAnsi="Times New Roman"/>
          <w:sz w:val="18"/>
          <w:szCs w:val="18"/>
          <w:color w:val="494949"/>
        </w:rPr>
        <w:t>.</w:t>
      </w:r>
    </w:p>
    <w:p>
      <w:pPr>
        <w:spacing w:after="0" w:line="176" w:lineRule="exact"/>
        <w:rPr>
          <w:sz w:val="20"/>
          <w:szCs w:val="20"/>
          <w:color w:val="auto"/>
        </w:rPr>
      </w:pPr>
    </w:p>
    <w:p>
      <w:pPr>
        <w:ind w:left="100" w:right="640"/>
        <w:spacing w:after="0" w:line="266" w:lineRule="auto"/>
        <w:rPr>
          <w:sz w:val="20"/>
          <w:szCs w:val="20"/>
          <w:color w:val="auto"/>
        </w:rPr>
      </w:pPr>
      <w:r>
        <w:rPr>
          <w:rFonts w:ascii="Times New Roman" w:cs="Times New Roman" w:eastAsia="Times New Roman" w:hAnsi="Times New Roman"/>
          <w:sz w:val="18"/>
          <w:szCs w:val="18"/>
          <w:color w:val="1D1C1C"/>
        </w:rPr>
        <w:t>If you accept the above described offer, please sign this letter, and keep a copy for your records. This offer is valid through May 16, 2022.</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D1C1C"/>
        </w:rPr>
        <w:t>Sincerely,</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Spenser Skates</w:t>
            </w:r>
          </w:p>
        </w:tc>
        <w:tc>
          <w:tcPr>
            <w:tcW w:w="3600" w:type="dxa"/>
            <w:vAlign w:val="bottom"/>
          </w:tcPr>
          <w:p>
            <w:pPr>
              <w:ind w:left="2700"/>
              <w:spacing w:after="0"/>
              <w:rPr>
                <w:sz w:val="20"/>
                <w:szCs w:val="20"/>
                <w:color w:val="auto"/>
              </w:rPr>
            </w:pPr>
            <w:r>
              <w:rPr>
                <w:rFonts w:ascii="Times New Roman" w:cs="Times New Roman" w:eastAsia="Times New Roman" w:hAnsi="Times New Roman"/>
                <w:sz w:val="18"/>
                <w:szCs w:val="18"/>
                <w:color w:val="1D1C1C"/>
                <w:w w:val="96"/>
              </w:rPr>
              <w:t>May 9, 2022</w:t>
            </w:r>
          </w:p>
        </w:tc>
      </w:tr>
    </w:tbl>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D1C1C"/>
        </w:rPr>
        <w:t>Spenser Skates CEO</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 w:lineRule="exact"/>
        <w:rPr>
          <w:sz w:val="20"/>
          <w:szCs w:val="20"/>
          <w:color w:val="auto"/>
        </w:rPr>
      </w:pPr>
    </w:p>
    <w:p>
      <w:pPr>
        <w:ind w:left="120" w:right="2720"/>
        <w:spacing w:after="0"/>
        <w:rPr>
          <w:sz w:val="20"/>
          <w:szCs w:val="20"/>
          <w:color w:val="auto"/>
        </w:rPr>
      </w:pPr>
      <w:r>
        <w:rPr>
          <w:rFonts w:ascii="Times New Roman" w:cs="Times New Roman" w:eastAsia="Times New Roman" w:hAnsi="Times New Roman"/>
          <w:sz w:val="18"/>
          <w:szCs w:val="18"/>
          <w:color w:val="auto"/>
        </w:rPr>
        <w:t xml:space="preserve">/s/ Thomas Hansen </w:t>
      </w:r>
      <w:r>
        <w:rPr>
          <w:rFonts w:ascii="Times New Roman" w:cs="Times New Roman" w:eastAsia="Times New Roman" w:hAnsi="Times New Roman"/>
          <w:sz w:val="18"/>
          <w:szCs w:val="18"/>
          <w:color w:val="1D1C1C"/>
        </w:rPr>
        <w:t>May 9, 2022</w:t>
      </w:r>
      <w:r>
        <w:rPr>
          <w:rFonts w:ascii="Times New Roman" w:cs="Times New Roman" w:eastAsia="Times New Roman" w:hAnsi="Times New Roman"/>
          <w:sz w:val="18"/>
          <w:szCs w:val="18"/>
          <w:color w:val="auto"/>
        </w:rPr>
        <w:t xml:space="preserve"> Thomas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445770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60" w:top="912" w:right="35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11"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ind w:left="520" w:right="48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right="20" w:hanging="504"/>
        <w:spacing w:after="0" w:line="258"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4" w:lineRule="exact"/>
        <w:rPr>
          <w:rFonts w:ascii="Times New Roman" w:cs="Times New Roman" w:eastAsia="Times New Roman" w:hAnsi="Times New Roman"/>
          <w:sz w:val="18"/>
          <w:szCs w:val="18"/>
          <w:color w:val="auto"/>
        </w:rPr>
      </w:pPr>
    </w:p>
    <w:p>
      <w:pPr>
        <w:jc w:val="both"/>
        <w:ind w:left="1020" w:right="500" w:hanging="504"/>
        <w:spacing w:after="0" w:line="295" w:lineRule="auto"/>
        <w:tabs>
          <w:tab w:leader="none" w:pos="10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40" w:hanging="504"/>
        <w:spacing w:after="0" w:line="258"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1020" w:right="740" w:hanging="504"/>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33134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ind w:left="7720"/>
        <w:spacing w:after="0" w:line="218"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Hoang Vuong, certify that:</w:t>
      </w:r>
    </w:p>
    <w:p>
      <w:pPr>
        <w:spacing w:after="0" w:line="211"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ind w:left="520" w:right="48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right="20" w:hanging="504"/>
        <w:spacing w:after="0" w:line="258"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4" w:lineRule="exact"/>
        <w:rPr>
          <w:rFonts w:ascii="Times New Roman" w:cs="Times New Roman" w:eastAsia="Times New Roman" w:hAnsi="Times New Roman"/>
          <w:sz w:val="18"/>
          <w:szCs w:val="18"/>
          <w:color w:val="auto"/>
        </w:rPr>
      </w:pPr>
    </w:p>
    <w:p>
      <w:pPr>
        <w:jc w:val="both"/>
        <w:ind w:left="1020" w:right="500" w:hanging="504"/>
        <w:spacing w:after="0" w:line="295" w:lineRule="auto"/>
        <w:tabs>
          <w:tab w:leader="none" w:pos="10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40" w:hanging="504"/>
        <w:spacing w:after="0" w:line="258"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1020" w:right="740" w:hanging="504"/>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33134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Hoang Vuong</w:t>
      </w:r>
    </w:p>
    <w:p>
      <w:pPr>
        <w:ind w:left="7740"/>
        <w:spacing w:after="0" w:line="218"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ind w:left="340" w:right="2580"/>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8"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June 30, 2022 as filed with the Securities and Exchange Commission on the date hereof (the “Report”), I certify, pursuant to 18 U.S.C. § 1350, as adopted pursuant to § 906 of the Sarbanes-Oxley Act of 2002, as amended, that:</w:t>
      </w:r>
    </w:p>
    <w:p>
      <w:pPr>
        <w:spacing w:after="0" w:line="189"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4"/>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33134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ind w:left="7720"/>
        <w:spacing w:after="0" w:line="218"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June 30, 2022 as filed with the Securities and Exchange Commission on the date hereof (the “Report”), I certify, pursuant to 18 U.S.C. § 1350, as adopted pursuant to § 906 of the Sarbanes-Oxley Act of 2002, as amended, that:</w:t>
      </w:r>
    </w:p>
    <w:p>
      <w:pPr>
        <w:spacing w:after="0" w:line="189"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4"/>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33134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Hoang Vuong</w:t>
      </w:r>
    </w:p>
    <w:p>
      <w:pPr>
        <w:ind w:left="7740"/>
        <w:spacing w:after="0" w:line="218"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1)"/>
      <w:numFmt w:val="decimal"/>
      <w:start w:val="10"/>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jpe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jpe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jpe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06" Type="http://schemas.openxmlformats.org/officeDocument/2006/relationships/hyperlink" Target="https://www.sec.gov/Archives/edgar/data/1866692/000119312521278308/d93786dex31.htm" TargetMode="External"/><Relationship Id="rId307" Type="http://schemas.openxmlformats.org/officeDocument/2006/relationships/hyperlink" Target="https://www.sec.gov/Archives/edgar/data/1866692/000119312521278308/d93786dex32.htm" TargetMode="External"/><Relationship Id="rId308" Type="http://schemas.openxmlformats.org/officeDocument/2006/relationships/hyperlink" Target="https://www.sec.gov/Archives/edgar/data/1866692/000119312521260696/d143868dex42.htm" TargetMode="External"/><Relationship Id="rId309" Type="http://schemas.openxmlformats.org/officeDocument/2006/relationships/hyperlink" Target="https://www.sec.gov/Archives/edgar/data/1866692/000119312521278407/d114916dex44.htm" TargetMode="External"/><Relationship Id="rId310"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2022-08-04T16:13:51Z</dcterms:created>
  <dcterms:modified xsi:type="dcterms:W3CDTF">2022-08-04T16:13:51Z</dcterms:modified>
</cp:coreProperties>
</file>