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Skates Spenser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AMPLITUDE,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THIRD ST.,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Amplitude, Inc.</w:t>
              </w:r>
            </w:hyperlink>
            <w:r>
              <w:rPr/>
              <w:t xml:space="preserve"> [ </w:t>
            </w:r>
            <w:r>
              <w:rPr>
                <w:rFonts w:ascii="Times;serif" w:hAnsi="Times;serif"/>
                <w:color w:val="0000FF"/>
                <w:sz w:val="24"/>
                <w:shd w:fill="FFFFFF" w:val="clear"/>
              </w:rPr>
              <w:t>AMPL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12"/>
        <w:gridCol w:w="783"/>
        <w:gridCol w:w="606"/>
        <w:gridCol w:w="342"/>
        <w:gridCol w:w="1008"/>
        <w:gridCol w:w="431"/>
        <w:gridCol w:w="983"/>
        <w:gridCol w:w="1129"/>
        <w:gridCol w:w="97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11/11/2025</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11/11/2025</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10.9883</w:t>
            </w:r>
            <w:r>
              <w:rPr>
                <w:rFonts w:ascii="Times;serif" w:hAnsi="Times;serif"/>
                <w:color w:val="008000"/>
                <w:position w:val="7"/>
                <w:sz w:val="16"/>
                <w:sz w:val="20"/>
                <w:shd w:fill="FFFFFF" w:val="clear"/>
              </w:rPr>
              <w:t>(3)</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255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816"/>
        <w:gridCol w:w="906"/>
        <w:gridCol w:w="801"/>
        <w:gridCol w:w="891"/>
        <w:gridCol w:w="1101"/>
        <w:gridCol w:w="801"/>
        <w:gridCol w:w="966"/>
        <w:gridCol w:w="831"/>
        <w:gridCol w:w="846"/>
      </w:tblGrid>
      <w:tr>
        <w:trPr>
          <w:tblHeader w:val="true"/>
        </w:trPr>
        <w:tc>
          <w:tcPr>
            <w:tcW w:w="125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11/11/2025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5,342,146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5,342,146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Class B Common Stock is convertible at any time at the option of the holder into the Issuer's Class A Common Stock on a one-to-one basis. The Class B Common Stock will convert automatically into shares of the Issuer's Class A Common Stock on a one-to-one basis upon the earlier of (a) any transfer of the Class B Common Stock by the holder, whether or not for value, subject to certain exceptions, (b) the death or incapacity of Mr. Skates, (c) the date that is six months following the date on which Mr. Skates is no longer an employee or director of the Issuer (unless Mr. Skates has rejoined the Issuer during such six-month period) or (d) the date that is six months following the date on which none of the Issuer's founders is an employee or director of the Issuer (unless a founder has rejoined the Issuer during such six-month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were effected pursuant to a 10b5-1 trading plan adopted by the Reporting Person's spouse on August 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$10.5500 to $11.2700.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Fisher, as attorney in fact for Skates Spenser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2913" TargetMode="External"/><Relationship Id="rId5" Type="http://schemas.openxmlformats.org/officeDocument/2006/relationships/hyperlink" Target="http://www.sec.gov/cgi-bin/browse-edgar?action=getcompany&amp;CIK=00018666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859</Words>
  <Characters>4462</Characters>
  <CharactersWithSpaces>5235</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