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mpl-20230331.htm"/>
      <w:bookmarkStart w:id="1" w:name="ksampl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80" w:after="0"/>
        <w:jc w:val="left"/>
        <w:rPr>
          <w:rFonts w:ascii="Times New Roman;serif" w:hAnsi="Times New Roman;serif"/>
          <w:b/>
          <w:sz w:val="16"/>
        </w:rPr>
      </w:pPr>
      <w:r>
        <w:rPr>
          <w:rFonts w:ascii="Times New Roman;serif" w:hAnsi="Times New Roman;serif"/>
          <w:b/>
          <w:sz w:val="16"/>
        </w:rPr>
        <w:t>(Mark One)</w:t>
      </w:r>
    </w:p>
    <w:tbl>
      <w:tblPr>
        <w:tblW w:w="10337" w:type="dxa"/>
        <w:jc w:val="left"/>
        <w:tblInd w:w="0" w:type="dxa"/>
        <w:tblCellMar>
          <w:top w:w="28" w:type="dxa"/>
          <w:left w:w="28" w:type="dxa"/>
          <w:bottom w:w="28" w:type="dxa"/>
          <w:right w:w="28" w:type="dxa"/>
        </w:tblCellMar>
      </w:tblPr>
      <w:tblGrid>
        <w:gridCol w:w="331"/>
        <w:gridCol w:w="10006"/>
      </w:tblGrid>
      <w:tr>
        <w:trPr/>
        <w:tc>
          <w:tcPr>
            <w:tcW w:w="331" w:type="dxa"/>
            <w:tcBorders/>
            <w:shd w:fill="auto" w:val="clear"/>
            <w:vAlign w:val="center"/>
          </w:tcPr>
          <w:p>
            <w:pPr>
              <w:pStyle w:val="TableContents"/>
              <w:spacing w:before="0" w:after="283"/>
              <w:rPr>
                <w:sz w:val="4"/>
                <w:szCs w:val="4"/>
              </w:rPr>
            </w:pPr>
            <w:r>
              <w:rPr>
                <w:sz w:val="4"/>
                <w:szCs w:val="4"/>
              </w:rPr>
            </w:r>
          </w:p>
        </w:tc>
        <w:tc>
          <w:tcPr>
            <w:tcW w:w="1000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serif" w:hAnsi="Times New Roman;serif"/>
          <w:b/>
          <w:sz w:val="20"/>
        </w:rPr>
      </w:pPr>
      <w:r>
        <w:rPr>
          <w:rFonts w:ascii="Times New Roman;serif" w:hAnsi="Times New Roman;serif"/>
          <w:b/>
          <w:sz w:val="20"/>
        </w:rPr>
        <w:t>OR</w:t>
      </w:r>
    </w:p>
    <w:tbl>
      <w:tblPr>
        <w:tblW w:w="10322" w:type="dxa"/>
        <w:jc w:val="left"/>
        <w:tblInd w:w="0" w:type="dxa"/>
        <w:tblCellMar>
          <w:top w:w="28" w:type="dxa"/>
          <w:left w:w="28" w:type="dxa"/>
          <w:bottom w:w="28" w:type="dxa"/>
          <w:right w:w="28" w:type="dxa"/>
        </w:tblCellMar>
      </w:tblPr>
      <w:tblGrid>
        <w:gridCol w:w="331"/>
        <w:gridCol w:w="9991"/>
      </w:tblGrid>
      <w:tr>
        <w:trPr/>
        <w:tc>
          <w:tcPr>
            <w:tcW w:w="331" w:type="dxa"/>
            <w:tcBorders/>
            <w:shd w:fill="auto" w:val="clear"/>
            <w:vAlign w:val="center"/>
          </w:tcPr>
          <w:p>
            <w:pPr>
              <w:pStyle w:val="TableContents"/>
              <w:spacing w:before="0" w:after="283"/>
              <w:rPr>
                <w:sz w:val="4"/>
                <w:szCs w:val="4"/>
              </w:rPr>
            </w:pPr>
            <w:r>
              <w:rPr>
                <w:sz w:val="4"/>
                <w:szCs w:val="4"/>
              </w:rPr>
            </w:r>
          </w:p>
        </w:tc>
        <w:tc>
          <w:tcPr>
            <w:tcW w:w="999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999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001-40817</w:t>
      </w:r>
    </w:p>
    <w:p>
      <w:pPr>
        <w:pStyle w:val="TextBody"/>
        <w:pBdr>
          <w:bottom w:val="single" w:sz="4" w:space="1" w:color="000000"/>
        </w:pBdr>
        <w:spacing w:before="0" w:after="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AMPLITUDE,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45-3937349</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201 Third Street, Suite 200</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San Francisco, California</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94103</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(415) 231-2353</w:t>
      </w:r>
    </w:p>
    <w:p>
      <w:pPr>
        <w:pStyle w:val="TextBody"/>
        <w:spacing w:before="80" w:after="0"/>
        <w:jc w:val="center"/>
        <w:rPr>
          <w:rFonts w:ascii="Times New Roman" w:hAnsi="Times New Roman"/>
          <w:sz w:val="20"/>
        </w:rPr>
      </w:pPr>
      <w:r>
        <w:rPr>
          <w:rFonts w:ascii="Times New Roman;serif" w:hAnsi="Times New Roman;serif"/>
          <w:b/>
          <w:sz w:val="18"/>
        </w:rPr>
        <w:t>N/A</w:t>
      </w:r>
      <w:r>
        <w:rPr>
          <w:rFonts w:ascii="Times New Roman;serif" w:hAnsi="Times New Roman;serif"/>
          <w:b/>
          <w:sz w:val="20"/>
        </w:rPr>
        <w:br/>
        <w:br/>
      </w:r>
      <w:r>
        <w:rPr>
          <w:rFonts w:ascii="Times New Roman;serif" w:hAnsi="Times New Roman;serif"/>
          <w:b/>
          <w:sz w:val="14"/>
        </w:rPr>
        <w:t>(Former name, former address and former fiscal year, if changed since last report)</w:t>
      </w:r>
      <w:r>
        <w:rPr>
          <w:rFonts w:ascii="Times New Roman;serif" w:hAnsi="Times New Roman;serif"/>
          <w:b/>
          <w:sz w:val="20"/>
        </w:rPr>
        <w:br/>
      </w:r>
      <w:r>
        <w:rPr>
          <w:rFonts w:ascii="Times New Roman" w:hAnsi="Times New Roman"/>
          <w:sz w:val="20"/>
        </w:rPr>
        <w:t> </w:t>
      </w:r>
    </w:p>
    <w:p>
      <w:pPr>
        <w:pStyle w:val="TextBody"/>
        <w:pBdr>
          <w:bottom w:val="single" w:sz="4" w:space="1" w:color="000000"/>
        </w:pBdr>
        <w:spacing w:before="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425" w:type="dxa"/>
        <w:jc w:val="left"/>
        <w:tblInd w:w="0" w:type="dxa"/>
        <w:tblCellMar>
          <w:top w:w="28" w:type="dxa"/>
          <w:left w:w="28" w:type="dxa"/>
          <w:bottom w:w="28" w:type="dxa"/>
          <w:right w:w="28" w:type="dxa"/>
        </w:tblCellMar>
      </w:tblPr>
      <w:tblGrid>
        <w:gridCol w:w="3991"/>
        <w:gridCol w:w="146"/>
        <w:gridCol w:w="826"/>
        <w:gridCol w:w="146"/>
        <w:gridCol w:w="3316"/>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99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Class A Common Stock, $0.00001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AMPL</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As of May 5, 2023, there were 79,859,254</w:t>
      </w:r>
      <w:r>
        <w:rPr>
          <w:rFonts w:ascii="Times New Roman" w:hAnsi="Times New Roman"/>
          <w:sz w:val="20"/>
        </w:rPr>
        <w:t xml:space="preserve"> </w:t>
      </w:r>
      <w:r>
        <w:rPr>
          <w:rFonts w:ascii="Times New Roman;serif" w:hAnsi="Times New Roman;serif"/>
          <w:b w:val="false"/>
          <w:sz w:val="18"/>
        </w:rPr>
        <w:t>shares of the registrant's Class A common stock and 36,186,078</w:t>
      </w:r>
      <w:r>
        <w:rPr>
          <w:rFonts w:ascii="Times New Roman" w:hAnsi="Times New Roman"/>
          <w:sz w:val="20"/>
        </w:rPr>
        <w:t xml:space="preserve"> </w:t>
      </w:r>
      <w:r>
        <w:rPr>
          <w:rFonts w:ascii="Times New Roman;serif" w:hAnsi="Times New Roman;serif"/>
          <w:b w:val="false"/>
          <w:sz w:val="18"/>
        </w:rPr>
        <w:t>shares of the registrant's Class B common stock, each with a $0.00001 par value per share, outstanding.</w:t>
      </w:r>
    </w:p>
    <w:p>
      <w:pPr>
        <w:pStyle w:val="TextBody"/>
        <w:pBdr>
          <w:bottom w:val="double" w:sz="6" w:space="1" w:color="000000"/>
        </w:pBdr>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1">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balancesheets">
              <w:r>
                <w:rPr>
                  <w:rStyle w:val="InternetLink"/>
                  <w:rFonts w:ascii="Times New Roman;serif" w:hAnsi="Times New Roman;serif"/>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statementsofoperations">
              <w:r>
                <w:rPr>
                  <w:rStyle w:val="InternetLink"/>
                  <w:rFonts w:ascii="Times New Roman;serif" w:hAnsi="Times New Roman;serif"/>
                  <w:b w:val="false"/>
                  <w:sz w:val="20"/>
                  <w:u w:val="single"/>
                </w:rPr>
                <w:t>Condensed Consolidated Statements of Operations and Comprehensive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statementsofequity">
              <w:r>
                <w:rPr>
                  <w:rStyle w:val="InternetLink"/>
                  <w:rFonts w:ascii="Times New Roman;serif" w:hAnsi="Times New Roman;serif"/>
                  <w:b w:val="false"/>
                  <w:sz w:val="20"/>
                  <w:u w:val="single"/>
                </w:rPr>
                <w:t>Condensed Consolidated Statements of Stockholders’ Equity</w:t>
              </w:r>
            </w:hyperlink>
            <w:hyperlink w:anchor="consolidatedstatementsofequity">
              <w:r>
                <w:rPr>
                  <w:rStyle w:val="InternetLink"/>
                  <w:rFonts w:ascii="Times New Roman" w:hAnsi="Times New Roman"/>
                  <w:sz w:val="20"/>
                </w:rPr>
                <w:t xml:space="preserve"> </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statementsofcashflows">
              <w:r>
                <w:rPr>
                  <w:rStyle w:val="InternetLink"/>
                  <w:rFonts w:ascii="Times New Roman;serif" w:hAnsi="Times New Roman;serif"/>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totheconsolidatedfinancial">
              <w:r>
                <w:rPr>
                  <w:rStyle w:val="InternetLink"/>
                  <w:rFonts w:ascii="Times New Roman;serif" w:hAnsi="Times New Roman;serif"/>
                  <w:b w:val="false"/>
                  <w:sz w:val="20"/>
                  <w:u w:val="single"/>
                </w:rPr>
                <w:t>Notes to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ther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hibits">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our revenue, expenses, and other operating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acquire new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increase usage of our Digital Analytics Platform and upsell and cross-sell additional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achieve or sustain profitability;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investments in our business, our anticipated capital expenditures, and our estimates regarding our capital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and success of our sales and marketing efforts, including our ability to grow and maintain our channel partners, and our ability to promote our brand;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effects of the coronavirus (“COVID-19”) pandemic, including as a result of any new strains or variants of the virus, and other global events, such as the ongoing war in Ukraine, on our business and the global economy generally;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reliance on key personnel and our ability to identify, recruit, and retain skilled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anticipated savings or operational efficiencies and charges in connection with our recently announced restructuring plan;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effectively manage our growth, including any international expansion;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protect our intellectual property rights and any costs associated therewith;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compete effectively with existing competitors and new market entrants;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increased expenses associated with being a public company.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caution you that the foregoing list does not contain all of the forward-looking statements made in this Quarterly Report on Form 10-Q.</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SUMMARY OF RISK FACTORS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and have been growing rapidly over the last several years, which makes it difficult to forecast our future results of operations and increases the risk of your investment.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history of losses. As our costs increase, we may not be able to generate sufficient revenue to achieve and sustain profitability.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fluctuations in our financial results, making it difficult to project future results. If we fail to meet the expectations of securities analysts or investors with respect to our results of operations, the trading price of our Class A common stock could decline.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focus on sales to larger organizations and may become more dependent on those relationships, which may increase the variability of our sales cycles and our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recognize revenue over the term of our customer contracts. Consequently, downturns or upturns in new sales may not be immediately reflected in our results of operations and may be difficult to discern.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trading price of our Class A common stock has been, and in the future, may be, volatile, and could decline significantly and rapidly.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market for SaaS applications develops more slowly than we expect or declines, our business would be adversely affected.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intellectual property rights may not protect our business or provide us with a competitive advantage, which could have a material adverse effect on our business, financial condition, and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government regulation, including import, export, economic sanctions, and anti-corruption laws and regulations, that may expose us to liability and increase our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principal stockholders have the ability to influence the outcome of director elections and other matters requiring stockholder approval.</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i_financial_info"/>
      <w:bookmarkEnd w:id="2"/>
      <w:r>
        <w:rPr>
          <w:rFonts w:ascii="Times New Roman;serif" w:hAnsi="Times New Roman;serif"/>
          <w:b/>
          <w:sz w:val="20"/>
        </w:rPr>
        <w:t>PART I—FINANCIAL INFORMATION</w:t>
      </w:r>
      <w:r>
        <w:rPr>
          <w:rFonts w:ascii="Times New Roman" w:hAnsi="Times New Roman"/>
          <w:sz w:val="20"/>
        </w:rPr>
        <w:t xml:space="preserve"> </w:t>
      </w:r>
    </w:p>
    <w:p>
      <w:pPr>
        <w:pStyle w:val="TextBody"/>
        <w:spacing w:before="180" w:after="0"/>
        <w:jc w:val="left"/>
        <w:rPr>
          <w:rFonts w:ascii="Times New Roman;serif" w:hAnsi="Times New Roman;serif"/>
          <w:b/>
          <w:sz w:val="20"/>
        </w:rPr>
      </w:pPr>
      <w:bookmarkStart w:id="3" w:name="i_item1"/>
      <w:bookmarkEnd w:id="3"/>
      <w:r>
        <w:rPr>
          <w:rFonts w:ascii="Times New Roman;serif" w:hAnsi="Times New Roman;serif"/>
          <w:b/>
          <w:sz w:val="20"/>
        </w:rPr>
        <w:t>Item 1. Financial Statements</w:t>
      </w:r>
    </w:p>
    <w:p>
      <w:pPr>
        <w:pStyle w:val="TextBody"/>
        <w:spacing w:before="24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4" w:name="consolidatedbalance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9817" w:type="dxa"/>
        <w:jc w:val="left"/>
        <w:tblInd w:w="0" w:type="dxa"/>
        <w:tblCellMar>
          <w:top w:w="28" w:type="dxa"/>
          <w:left w:w="28" w:type="dxa"/>
          <w:bottom w:w="28" w:type="dxa"/>
          <w:right w:w="28" w:type="dxa"/>
        </w:tblCellMar>
      </w:tblPr>
      <w:tblGrid>
        <w:gridCol w:w="6616"/>
        <w:gridCol w:w="146"/>
        <w:gridCol w:w="196"/>
        <w:gridCol w:w="751"/>
        <w:gridCol w:w="166"/>
        <w:gridCol w:w="146"/>
        <w:gridCol w:w="245"/>
        <w:gridCol w:w="940"/>
        <w:gridCol w:w="611"/>
      </w:tblGrid>
      <w:tr>
        <w:trPr/>
        <w:tc>
          <w:tcPr>
            <w:tcW w:w="6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w:t>
              <w:br/>
              <w:t xml:space="preserve">March 31, </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w:t>
              <w:br/>
              <w:t xml:space="preserve">December 31, </w:t>
              <w:b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214,062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218,494</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 current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53,232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11,971</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Accounts receivable, net of allowance for doubtful accounts of $798</w:t>
              <w:br/>
              <w:t>   and $690</w:t>
            </w:r>
            <w:r>
              <w:rPr>
                <w:rFonts w:ascii="Times New Roman" w:hAnsi="Times New Roman"/>
                <w:sz w:val="20"/>
              </w:rPr>
              <w:t> </w:t>
            </w:r>
            <w:r>
              <w:rPr>
                <w:rFonts w:ascii="Times New Roman;serif" w:hAnsi="Times New Roman;serif"/>
                <w:b w:val="false"/>
                <w:sz w:val="18"/>
              </w:rPr>
              <w:t>as of March 31, 2023 and December 31, 2022, respectively</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30,581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22,716</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17,476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20,335</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commissions, current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11,275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10,918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326,626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284,434</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 noncurrent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30,878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71,217</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9,408</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2,022</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4,073</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Restricted cash, noncurrent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855</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commissions, noncurrent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25,129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25,799</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9,593</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6,354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412,531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413,755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19,634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18,699</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89,348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89,993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112,681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109,182</w:t>
            </w:r>
          </w:p>
        </w:tc>
        <w:tc>
          <w:tcPr>
            <w:tcW w:w="6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liabilities, noncurrent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7,093</w:t>
            </w:r>
          </w:p>
        </w:tc>
        <w:tc>
          <w:tcPr>
            <w:tcW w:w="6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2,511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121,311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118,786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9)</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Preferred stock, $0.00001</w:t>
            </w:r>
            <w:r>
              <w:rPr>
                <w:rFonts w:ascii="Times New Roman" w:hAnsi="Times New Roman"/>
                <w:sz w:val="20"/>
              </w:rPr>
              <w:t> </w:t>
            </w:r>
            <w:r>
              <w:rPr>
                <w:rFonts w:ascii="Times New Roman;serif" w:hAnsi="Times New Roman;serif"/>
                <w:b w:val="false"/>
                <w:sz w:val="18"/>
              </w:rPr>
              <w:t>par value per share; 20,000</w:t>
            </w:r>
            <w:r>
              <w:rPr>
                <w:rFonts w:ascii="Times New Roman" w:hAnsi="Times New Roman"/>
                <w:sz w:val="20"/>
              </w:rPr>
              <w:t> </w:t>
            </w:r>
            <w:r>
              <w:rPr>
                <w:rFonts w:ascii="Times New Roman;serif" w:hAnsi="Times New Roman;serif"/>
                <w:b w:val="false"/>
                <w:sz w:val="18"/>
              </w:rPr>
              <w:t xml:space="preserve">shares authorized </w:t>
              <w:br/>
              <w:t>   as of March 31, 2023 and December 31, 2022; zero</w:t>
            </w:r>
            <w:r>
              <w:rPr>
                <w:rFonts w:ascii="Times New Roman" w:hAnsi="Times New Roman"/>
                <w:sz w:val="20"/>
              </w:rPr>
              <w:t> </w:t>
            </w:r>
            <w:r>
              <w:rPr>
                <w:rFonts w:ascii="Times New Roman;serif" w:hAnsi="Times New Roman;serif"/>
                <w:b w:val="false"/>
                <w:sz w:val="18"/>
              </w:rPr>
              <w:t xml:space="preserve">shares issued and </w:t>
              <w:br/>
              <w:t>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Class A common stock, $0.00001</w:t>
            </w:r>
            <w:r>
              <w:rPr>
                <w:rFonts w:ascii="Times New Roman" w:hAnsi="Times New Roman"/>
                <w:sz w:val="20"/>
              </w:rPr>
              <w:t> </w:t>
            </w:r>
            <w:r>
              <w:rPr>
                <w:rFonts w:ascii="Times New Roman;serif" w:hAnsi="Times New Roman;serif"/>
                <w:b w:val="false"/>
                <w:sz w:val="18"/>
              </w:rPr>
              <w:t>par value per share; 600,000</w:t>
            </w:r>
            <w:r>
              <w:rPr>
                <w:rFonts w:ascii="Times New Roman" w:hAnsi="Times New Roman"/>
                <w:sz w:val="20"/>
              </w:rPr>
              <w:t> </w:t>
            </w:r>
            <w:r>
              <w:rPr>
                <w:rFonts w:ascii="Times New Roman;serif" w:hAnsi="Times New Roman;serif"/>
                <w:b w:val="false"/>
                <w:sz w:val="18"/>
              </w:rPr>
              <w:t xml:space="preserve">shares </w:t>
              <w:br/>
              <w:t>   authorized as of March 31, 2023 and December 31, 2022, 79,260</w:t>
            </w:r>
            <w:r>
              <w:rPr>
                <w:rFonts w:ascii="Times New Roman" w:hAnsi="Times New Roman"/>
                <w:sz w:val="20"/>
              </w:rPr>
              <w:t> </w:t>
            </w:r>
            <w:r>
              <w:rPr>
                <w:rFonts w:ascii="Times New Roman;serif" w:hAnsi="Times New Roman;serif"/>
                <w:b w:val="false"/>
                <w:sz w:val="18"/>
              </w:rPr>
              <w:t>and 76,351</w:t>
              <w:br/>
              <w:t>   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6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Class B common stock, $0.00001</w:t>
            </w:r>
            <w:r>
              <w:rPr>
                <w:rFonts w:ascii="Times New Roman" w:hAnsi="Times New Roman"/>
                <w:sz w:val="20"/>
              </w:rPr>
              <w:t> </w:t>
            </w:r>
            <w:r>
              <w:rPr>
                <w:rFonts w:ascii="Times New Roman;serif" w:hAnsi="Times New Roman;serif"/>
                <w:b w:val="false"/>
                <w:sz w:val="18"/>
              </w:rPr>
              <w:t>par value per share; 600,000</w:t>
              <w:br/>
              <w:t>   shares authorized as of March 31, 2023 and December 31, 2022; 36,322</w:t>
              <w:br/>
              <w:t>   and 37,848</w:t>
            </w:r>
            <w:r>
              <w:rPr>
                <w:rFonts w:ascii="Times New Roman" w:hAnsi="Times New Roman"/>
                <w:sz w:val="20"/>
              </w:rPr>
              <w:t> </w:t>
            </w:r>
            <w:r>
              <w:rPr>
                <w:rFonts w:ascii="Times New Roman;serif" w:hAnsi="Times New Roman;serif"/>
                <w:b w:val="false"/>
                <w:sz w:val="18"/>
              </w:rPr>
              <w:t>shares issued and outstanding as of March 31, 2023 and</w:t>
              <w:br/>
              <w:t>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591,183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568,889</w:t>
            </w:r>
          </w:p>
        </w:tc>
        <w:tc>
          <w:tcPr>
            <w:tcW w:w="6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(754</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(299,482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(273,167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291,220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294,969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412,531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413,755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5" w:name="fin143868_3"/>
      <w:bookmarkEnd w:id="5"/>
      <w:r>
        <w:rPr>
          <w:rFonts w:ascii="Times New Roman;serif" w:hAnsi="Times New Roman;serif"/>
          <w:b/>
          <w:sz w:val="20"/>
        </w:rPr>
        <w:t>AMPLITUDE,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6" w:name="consolidatedstatementsofoperations"/>
      <w:bookmarkEnd w:id="6"/>
      <w:r>
        <w:rPr>
          <w:rFonts w:ascii="Times New Roman;serif" w:hAnsi="Times New Roman;serif"/>
          <w:b/>
          <w:sz w:val="20"/>
        </w:rPr>
        <w:t>Condensed Consolidated Statements of Operations and Comprehensive Loss</w:t>
      </w:r>
    </w:p>
    <w:p>
      <w:pPr>
        <w:pStyle w:val="TextBody"/>
        <w:spacing w:before="0" w:after="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9530" w:type="dxa"/>
        <w:jc w:val="left"/>
        <w:tblInd w:w="0" w:type="dxa"/>
        <w:tblCellMar>
          <w:top w:w="28" w:type="dxa"/>
          <w:left w:w="28" w:type="dxa"/>
          <w:bottom w:w="28" w:type="dxa"/>
          <w:right w:w="28" w:type="dxa"/>
        </w:tblCellMar>
      </w:tblPr>
      <w:tblGrid>
        <w:gridCol w:w="6331"/>
        <w:gridCol w:w="146"/>
        <w:gridCol w:w="211"/>
        <w:gridCol w:w="781"/>
        <w:gridCol w:w="166"/>
        <w:gridCol w:w="146"/>
        <w:gridCol w:w="211"/>
        <w:gridCol w:w="781"/>
        <w:gridCol w:w="166"/>
        <w:gridCol w:w="591"/>
      </w:tblGrid>
      <w:tr>
        <w:trPr/>
        <w:tc>
          <w:tcPr>
            <w:tcW w:w="6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53,065</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16,501</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28,130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center"/>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before provision for (benefit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Class A and Class B common stockholders: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center"/>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 attributable to</w:t>
              <w:br/>
              <w:t>   Class A and Class B common stockholders: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center"/>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114,369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center"/>
              <w:rPr/>
            </w:pPr>
            <w:r>
              <w:rPr/>
              <w:t> </w:t>
            </w:r>
          </w:p>
        </w:tc>
      </w:tr>
      <w:tr>
        <w:trPr/>
        <w:tc>
          <w:tcPr>
            <w:tcW w:w="6331"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center"/>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unrealized gains (losses) on marketable securities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center"/>
              <w:rPr/>
            </w:pPr>
            <w:r>
              <w:rPr/>
              <w:t> </w:t>
            </w:r>
          </w:p>
        </w:tc>
      </w:tr>
      <w:tr>
        <w:trPr/>
        <w:tc>
          <w:tcPr>
            <w:tcW w:w="63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See accompanying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7" w:name="consolidatedstatementsofequity"/>
      <w:bookmarkEnd w:id="7"/>
      <w:r>
        <w:rPr>
          <w:rFonts w:ascii="Times New Roman;serif" w:hAnsi="Times New Roman;serif"/>
          <w:b/>
          <w:sz w:val="20"/>
        </w:rPr>
        <w:t>Condensed Consolidated Statements of Stockholders’ Equity</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1871"/>
        <w:gridCol w:w="146"/>
        <w:gridCol w:w="166"/>
        <w:gridCol w:w="666"/>
        <w:gridCol w:w="171"/>
        <w:gridCol w:w="166"/>
        <w:gridCol w:w="274"/>
        <w:gridCol w:w="179"/>
        <w:gridCol w:w="411"/>
        <w:gridCol w:w="146"/>
        <w:gridCol w:w="146"/>
        <w:gridCol w:w="241"/>
        <w:gridCol w:w="149"/>
        <w:gridCol w:w="602"/>
        <w:gridCol w:w="146"/>
        <w:gridCol w:w="146"/>
        <w:gridCol w:w="181"/>
        <w:gridCol w:w="471"/>
        <w:gridCol w:w="1216"/>
        <w:gridCol w:w="151"/>
        <w:gridCol w:w="146"/>
        <w:gridCol w:w="241"/>
        <w:gridCol w:w="163"/>
        <w:gridCol w:w="708"/>
        <w:gridCol w:w="151"/>
        <w:gridCol w:w="146"/>
        <w:gridCol w:w="241"/>
        <w:gridCol w:w="177"/>
        <w:gridCol w:w="720"/>
        <w:gridCol w:w="201"/>
      </w:tblGrid>
      <w:tr>
        <w:trPr/>
        <w:tc>
          <w:tcPr>
            <w:tcW w:w="1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8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3"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 and Class B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6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9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01" w:type="dxa"/>
            <w:tcBorders/>
            <w:shd w:fill="auto" w:val="clear"/>
            <w:vAlign w:val="center"/>
          </w:tcPr>
          <w:p>
            <w:pPr>
              <w:pStyle w:val="TableContents"/>
              <w:spacing w:before="0" w:after="0"/>
              <w:ind w:left="0" w:right="0" w:hanging="0"/>
              <w:jc w:val="center"/>
              <w:rPr/>
            </w:pPr>
            <w:r>
              <w:rPr/>
              <w:t> </w:t>
            </w:r>
          </w:p>
        </w:tc>
      </w:tr>
      <w:tr>
        <w:trPr/>
        <w:tc>
          <w:tcPr>
            <w:tcW w:w="18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274" w:type="dxa"/>
            <w:tcBorders/>
            <w:shd w:fill="auto" w:val="clear"/>
            <w:vAlign w:val="center"/>
          </w:tcPr>
          <w:p>
            <w:pPr>
              <w:pStyle w:val="TableContents"/>
              <w:spacing w:before="0" w:after="0"/>
              <w:ind w:left="0" w:right="0" w:hanging="0"/>
              <w:jc w:val="center"/>
              <w:rPr/>
            </w:pPr>
            <w:r>
              <w:rPr/>
              <w:t> </w:t>
            </w:r>
          </w:p>
        </w:tc>
        <w:tc>
          <w:tcPr>
            <w:tcW w:w="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6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December 31, 2022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114,199</w:t>
            </w:r>
          </w:p>
        </w:tc>
        <w:tc>
          <w:tcPr>
            <w:tcW w:w="1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568,889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(754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(273,167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294,969</w:t>
            </w:r>
          </w:p>
        </w:tc>
        <w:tc>
          <w:tcPr>
            <w:tcW w:w="201" w:type="dxa"/>
            <w:tcBorders/>
            <w:shd w:fill="auto" w:val="cle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20,409</w:t>
            </w:r>
          </w:p>
        </w:tc>
        <w:tc>
          <w:tcPr>
            <w:tcW w:w="201" w:type="dxa"/>
            <w:tcBorders/>
            <w:shd w:fill="auto" w:val="cle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554</w:t>
            </w:r>
          </w:p>
        </w:tc>
        <w:tc>
          <w:tcPr>
            <w:tcW w:w="1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1,687</w:t>
            </w:r>
          </w:p>
        </w:tc>
        <w:tc>
          <w:tcPr>
            <w:tcW w:w="201" w:type="dxa"/>
            <w:tcBorders/>
            <w:shd w:fill="auto" w:val="cle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early exercised stock options</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201" w:type="dxa"/>
            <w:tcBorders/>
            <w:shd w:fill="auto" w:val="cle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restricted stock units</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875</w:t>
            </w:r>
          </w:p>
        </w:tc>
        <w:tc>
          <w:tcPr>
            <w:tcW w:w="1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Repurchase of unvested stock options</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6"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(26,315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2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(26,315</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income (loss), net</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March 31, 2023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115,582</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591,183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(482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(299,482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291,220</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Statements of Stockholders’ Equity</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1894"/>
        <w:gridCol w:w="146"/>
        <w:gridCol w:w="165"/>
        <w:gridCol w:w="665"/>
        <w:gridCol w:w="171"/>
        <w:gridCol w:w="165"/>
        <w:gridCol w:w="273"/>
        <w:gridCol w:w="179"/>
        <w:gridCol w:w="411"/>
        <w:gridCol w:w="146"/>
        <w:gridCol w:w="146"/>
        <w:gridCol w:w="241"/>
        <w:gridCol w:w="149"/>
        <w:gridCol w:w="602"/>
        <w:gridCol w:w="146"/>
        <w:gridCol w:w="146"/>
        <w:gridCol w:w="181"/>
        <w:gridCol w:w="496"/>
        <w:gridCol w:w="1177"/>
        <w:gridCol w:w="146"/>
        <w:gridCol w:w="146"/>
        <w:gridCol w:w="241"/>
        <w:gridCol w:w="163"/>
        <w:gridCol w:w="708"/>
        <w:gridCol w:w="151"/>
        <w:gridCol w:w="146"/>
        <w:gridCol w:w="241"/>
        <w:gridCol w:w="177"/>
        <w:gridCol w:w="719"/>
        <w:gridCol w:w="202"/>
      </w:tblGrid>
      <w:tr>
        <w:trPr/>
        <w:tc>
          <w:tcPr>
            <w:tcW w:w="18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18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29"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 and Class B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673"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9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02" w:type="dxa"/>
            <w:tcBorders/>
            <w:shd w:fill="auto" w:val="clear"/>
            <w:vAlign w:val="center"/>
          </w:tcPr>
          <w:p>
            <w:pPr>
              <w:pStyle w:val="TableContents"/>
              <w:spacing w:before="0" w:after="0"/>
              <w:ind w:left="0" w:right="0" w:hanging="0"/>
              <w:jc w:val="center"/>
              <w:rPr/>
            </w:pPr>
            <w:r>
              <w:rPr/>
              <w:t> </w:t>
            </w:r>
          </w:p>
        </w:tc>
      </w:tr>
      <w:tr>
        <w:trPr/>
        <w:tc>
          <w:tcPr>
            <w:tcW w:w="18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center"/>
              <w:rPr/>
            </w:pPr>
            <w:r>
              <w:rPr/>
              <w:t> </w:t>
            </w:r>
          </w:p>
        </w:tc>
        <w:tc>
          <w:tcPr>
            <w:tcW w:w="273" w:type="dxa"/>
            <w:tcBorders/>
            <w:shd w:fill="auto" w:val="clear"/>
            <w:vAlign w:val="center"/>
          </w:tcPr>
          <w:p>
            <w:pPr>
              <w:pStyle w:val="TableContents"/>
              <w:spacing w:before="0" w:after="0"/>
              <w:ind w:left="0" w:right="0" w:hanging="0"/>
              <w:jc w:val="center"/>
              <w:rPr/>
            </w:pPr>
            <w:r>
              <w:rPr/>
              <w:t> </w:t>
            </w:r>
          </w:p>
        </w:tc>
        <w:tc>
          <w:tcPr>
            <w:tcW w:w="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6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8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December 31, 2021</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109,876</w:t>
            </w:r>
          </w:p>
        </w:tc>
        <w:tc>
          <w:tcPr>
            <w:tcW w:w="171"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486,354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(179,807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306,548</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13,785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13,785</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1,603</w:t>
            </w:r>
          </w:p>
        </w:tc>
        <w:tc>
          <w:tcPr>
            <w:tcW w:w="171"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3,977</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early exercised stock options</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743</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restricted stock units</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w:t>
            </w:r>
          </w:p>
        </w:tc>
        <w:tc>
          <w:tcPr>
            <w:tcW w:w="171"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Repurchase of unvested stock options</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Cumulative impact of Topic 842 adoption</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1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202" w:type="dxa"/>
            <w:tcBorders/>
            <w:shd w:fill="auto" w:val="clear"/>
            <w:vAlign w:val="center"/>
          </w:tcPr>
          <w:p>
            <w:pPr>
              <w:pStyle w:val="TableContents"/>
              <w:spacing w:before="0" w:after="0"/>
              <w:ind w:left="0" w:right="0" w:hanging="0"/>
              <w:jc w:val="left"/>
              <w:rPr/>
            </w:pPr>
            <w:r>
              <w:rPr/>
              <w:t> </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(22,220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(22,220</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89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March 31, 2022</w:t>
            </w:r>
          </w:p>
        </w:tc>
        <w:tc>
          <w:tcPr>
            <w:tcW w:w="146" w:type="dxa"/>
            <w:tcBorders/>
            <w:shd w:fill="auto" w:val="clear"/>
            <w:vAlign w:val="center"/>
          </w:tcPr>
          <w:p>
            <w:pPr>
              <w:pStyle w:val="TableContents"/>
              <w:spacing w:before="0" w:after="0"/>
              <w:ind w:left="0" w:right="0" w:hanging="0"/>
              <w:jc w:val="righ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111,507</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504,859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(202,011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4"/>
              </w:rPr>
              <w:t>$</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302,849</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8" w:name="fin143868_5"/>
      <w:bookmarkEnd w:id="8"/>
      <w:r>
        <w:rPr>
          <w:rFonts w:ascii="Times New Roman;serif" w:hAnsi="Times New Roman;serif"/>
          <w:b/>
          <w:sz w:val="20"/>
        </w:rPr>
        <w:t>AMPLITUDE,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9" w:name="consolidatedstatementsofcashflows"/>
      <w:bookmarkEnd w:id="9"/>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9630" w:type="dxa"/>
        <w:jc w:val="left"/>
        <w:tblInd w:w="0" w:type="dxa"/>
        <w:tblCellMar>
          <w:top w:w="28" w:type="dxa"/>
          <w:left w:w="28" w:type="dxa"/>
          <w:bottom w:w="28" w:type="dxa"/>
          <w:right w:w="28" w:type="dxa"/>
        </w:tblCellMar>
      </w:tblPr>
      <w:tblGrid>
        <w:gridCol w:w="6031"/>
        <w:gridCol w:w="146"/>
        <w:gridCol w:w="211"/>
        <w:gridCol w:w="781"/>
        <w:gridCol w:w="166"/>
        <w:gridCol w:w="146"/>
        <w:gridCol w:w="211"/>
        <w:gridCol w:w="781"/>
        <w:gridCol w:w="166"/>
        <w:gridCol w:w="99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453"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13,503</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operating lease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809</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commissions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2,946</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5,843</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Capitalization of internal-use software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3,989</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received for tax withholding obligations on equity</w:t>
              <w:br/>
              <w:t>   award settlements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7,342</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tax withholding obligations on equity award settlements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 of unvested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w:t>
              <w:br/>
              <w:t>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308,295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214,920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301,272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cash flow information:</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investing and financing activities:</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early exercised options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capitalized as internal-use software costs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6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center"/>
        <w:rPr>
          <w:rFonts w:ascii="Times New Roman" w:hAnsi="Times New Roman"/>
          <w:sz w:val="20"/>
        </w:rPr>
      </w:pPr>
      <w:r>
        <w:rPr>
          <w:rFonts w:ascii="Times New Roman;serif" w:hAnsi="Times New Roman;serif"/>
          <w:b w:val="false"/>
          <w:sz w:val="20"/>
        </w:rPr>
        <w:t>See accompanying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10" w:name="notestotheconsolidatedfinancial"/>
      <w:bookmarkEnd w:id="10"/>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240" w:after="0"/>
        <w:jc w:val="left"/>
        <w:rPr>
          <w:rFonts w:ascii="Times New Roman" w:hAnsi="Times New Roman"/>
          <w:b/>
          <w:sz w:val="20"/>
        </w:rPr>
      </w:pPr>
      <w:r>
        <w:rPr>
          <w:rFonts w:ascii="Times New Roman" w:hAnsi="Times New Roman"/>
          <w:b/>
          <w:sz w:val="20"/>
        </w:rPr>
        <w:t>(1)</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Summary of Business and Significant Accounting Policies </w:t>
      </w:r>
    </w:p>
    <w:p>
      <w:pPr>
        <w:pStyle w:val="TextBody"/>
        <w:spacing w:before="120" w:after="0"/>
        <w:jc w:val="left"/>
        <w:rPr>
          <w:rFonts w:ascii="Times New Roman" w:hAnsi="Times New Roman"/>
          <w:sz w:val="20"/>
        </w:rPr>
      </w:pPr>
      <w:r>
        <w:rPr>
          <w:rFonts w:ascii="Times New Roman;serif" w:hAnsi="Times New Roman;serif"/>
          <w:b/>
          <w:i/>
          <w:sz w:val="20"/>
        </w:rPr>
        <w:t>Description of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Segment Information</w:t>
      </w:r>
    </w:p>
    <w:p>
      <w:pPr>
        <w:pStyle w:val="TextBody"/>
        <w:spacing w:before="120" w:after="0"/>
        <w:jc w:val="left"/>
        <w:rPr>
          <w:rFonts w:ascii="Times New Roman" w:hAnsi="Times New Roman"/>
          <w:sz w:val="20"/>
        </w:rPr>
      </w:pPr>
      <w:r>
        <w:rPr>
          <w:rFonts w:ascii="Times New Roman;serif" w:hAnsi="Times New Roman;serif"/>
          <w:b w:val="false"/>
          <w:sz w:val="20"/>
        </w:rPr>
        <w:t>The Company has a single</w:t>
      </w:r>
      <w:r>
        <w:rPr>
          <w:rFonts w:ascii="Times New Roman" w:hAnsi="Times New Roman"/>
          <w:sz w:val="20"/>
        </w:rPr>
        <w:t xml:space="preserve"> </w:t>
      </w:r>
      <w:r>
        <w:rPr>
          <w:rFonts w:ascii="Times New Roman;serif" w:hAnsi="Times New Roman;serif"/>
          <w:b w:val="false"/>
          <w:sz w:val="20"/>
        </w:rPr>
        <w:t>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Basis of Presentation and Principles of Consolidation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unaudited condensed consolidated balance sheet as of December 31, 2022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condensed consolidated financial statements should be read in conjunction with the audited consolidated financial statements and notes included in the Company’s Annual Report on Form 10-K for the year ended December 31, 2022 (the “2022 Form 10-K”).</w:t>
      </w:r>
    </w:p>
    <w:p>
      <w:pPr>
        <w:pStyle w:val="TextBody"/>
        <w:spacing w:before="3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expected period of benefit for deferred commissions;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useful lives of long-lived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valuation of goodwill and intangible assets;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recognition, measurement, and valuation of deferred tax assets and income tax uncertainties;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incremental borrowing rates used for operating leases.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Risks and Uncertainties</w:t>
      </w:r>
    </w:p>
    <w:p>
      <w:pPr>
        <w:pStyle w:val="TextBody"/>
        <w:spacing w:before="120" w:after="0"/>
        <w:jc w:val="left"/>
        <w:rPr>
          <w:rFonts w:ascii="Times New Roman" w:hAnsi="Times New Roman"/>
          <w:sz w:val="20"/>
        </w:rPr>
      </w:pPr>
      <w:r>
        <w:rPr>
          <w:rFonts w:ascii="Times New Roman;serif" w:hAnsi="Times New Roman;serif"/>
          <w:b w:val="false"/>
          <w:sz w:val="20"/>
        </w:rPr>
        <w:t>While the duration and extent of the COVID-19 pandemic depends on future developments that cannot be accurately predicted at this time, such as the extent and effectiveness of containment actions, it has already had an adverse effect on the global economy and the lasting effects of the pandemic continue to be unknown. The Company may experience customer losses, including due to bankruptcy or customers ceasing operations, which may result in delays in collections or an inability to collect accounts receivable from these customers.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Concentration of Risk and Significant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No customer accounted for 10% or more of total revenue for the three months ended March 31, 2023 and 2022. As of the quarter ended March 31, 2023</w:t>
      </w:r>
      <w:r>
        <w:rPr>
          <w:rFonts w:ascii="Times New Roman" w:hAnsi="Times New Roman"/>
          <w:sz w:val="20"/>
        </w:rPr>
        <w:t xml:space="preserve"> </w:t>
      </w:r>
      <w:r>
        <w:rPr>
          <w:rFonts w:ascii="Times New Roman;serif" w:hAnsi="Times New Roman;serif"/>
          <w:b w:val="false"/>
          <w:sz w:val="20"/>
        </w:rPr>
        <w:t>and the year ended December 31, 2022, no customer represented 10% or more of accounts receivable.</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Significant Accounting Policies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significant accounting policies are described in the 2022 Form 10-K. There have been no significant changes to these policies that have had a material impact on the Company's condensed consolidated financial statements and related notes for the three months ended March 31, 2023.</w:t>
      </w:r>
    </w:p>
    <w:p>
      <w:pPr>
        <w:pStyle w:val="TextBody"/>
        <w:spacing w:before="360" w:after="0"/>
        <w:jc w:val="left"/>
        <w:rPr>
          <w:rFonts w:ascii="Times New Roman" w:hAnsi="Times New Roman"/>
          <w:b/>
          <w:sz w:val="20"/>
        </w:rPr>
      </w:pPr>
      <w:r>
        <w:rPr>
          <w:rFonts w:ascii="Times New Roman" w:hAnsi="Times New Roman"/>
          <w:b/>
          <w:sz w:val="20"/>
        </w:rPr>
        <w:t>(2)</w:t>
      </w:r>
    </w:p>
    <w:p>
      <w:pPr>
        <w:pStyle w:val="TextBody"/>
        <w:spacing w:before="360" w:after="283"/>
        <w:jc w:val="left"/>
        <w:rPr>
          <w:rFonts w:ascii="Times New Roman;serif" w:hAnsi="Times New Roman;serif"/>
          <w:b/>
          <w:sz w:val="20"/>
        </w:rPr>
      </w:pPr>
      <w:r>
        <w:rPr>
          <w:rFonts w:ascii="Times New Roman;serif" w:hAnsi="Times New Roman;serif"/>
          <w:b/>
          <w:sz w:val="20"/>
        </w:rPr>
        <w:t>Revenue from Contracts with Customers</w:t>
      </w:r>
    </w:p>
    <w:p>
      <w:pPr>
        <w:pStyle w:val="TextBody"/>
        <w:spacing w:before="120" w:after="0"/>
        <w:jc w:val="left"/>
        <w:rPr>
          <w:rFonts w:ascii="Times New Roman" w:hAnsi="Times New Roman"/>
          <w:sz w:val="20"/>
        </w:rPr>
      </w:pPr>
      <w:r>
        <w:rPr>
          <w:rFonts w:ascii="Times New Roman;serif" w:hAnsi="Times New Roman;serif"/>
          <w:b/>
          <w:i/>
          <w:sz w:val="20"/>
        </w:rPr>
        <w:t>Deferred Revenue and Remaining Performance Obligations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amount of revenue recognized in the three months ended March 31, 2023 that was included in deferred revenue as of December 31, 2022 was $49.1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unrecognized transaction price related to remaining performance obligations was $240.4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$248.2</w:t>
      </w:r>
      <w:r>
        <w:rPr>
          <w:rFonts w:ascii="Times New Roman" w:hAnsi="Times New Roman"/>
          <w:sz w:val="20"/>
        </w:rPr>
        <w:t xml:space="preserve"> </w:t>
      </w:r>
      <w:r>
        <w:rPr>
          <w:rFonts w:ascii="Times New Roman;serif" w:hAnsi="Times New Roman;serif"/>
          <w:b w:val="false"/>
          <w:sz w:val="20"/>
        </w:rPr>
        <w:t xml:space="preserve">million, respectively. The Company’s remaining performance obligations as of March 31, 2023 and December 31, 2022 are expected to be recognized as follows (in thousands): </w:t>
      </w:r>
    </w:p>
    <w:p>
      <w:pPr>
        <w:pStyle w:val="TextBody"/>
        <w:spacing w:before="0" w:after="0"/>
        <w:jc w:val="left"/>
        <w:rPr/>
      </w:pPr>
      <w:r>
        <w:rPr/>
        <w:t> </w:t>
      </w:r>
    </w:p>
    <w:tbl>
      <w:tblPr>
        <w:tblW w:w="6332" w:type="dxa"/>
        <w:jc w:val="left"/>
        <w:tblInd w:w="0" w:type="dxa"/>
        <w:tblCellMar>
          <w:top w:w="28" w:type="dxa"/>
          <w:left w:w="28" w:type="dxa"/>
          <w:bottom w:w="28" w:type="dxa"/>
          <w:right w:w="28" w:type="dxa"/>
        </w:tblCellMar>
      </w:tblPr>
      <w:tblGrid>
        <w:gridCol w:w="3451"/>
        <w:gridCol w:w="146"/>
        <w:gridCol w:w="211"/>
        <w:gridCol w:w="781"/>
        <w:gridCol w:w="146"/>
        <w:gridCol w:w="146"/>
        <w:gridCol w:w="268"/>
        <w:gridCol w:w="992"/>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w:t>
              <w:b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w:t>
              <w:b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than or equal to 12 months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190,595</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Greater than 12 months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57,581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remaining performance obligations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240,358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248,176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Disaggregation of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shows the Company’s disaggregation of revenue by geographic areas, as determined based on the billing address of its customers (in thousands):</w:t>
      </w:r>
      <w:r>
        <w:rPr>
          <w:rFonts w:ascii="Times New Roman" w:hAnsi="Times New Roman"/>
          <w:sz w:val="20"/>
        </w:rPr>
        <w:t xml:space="preserve"> </w:t>
      </w:r>
    </w:p>
    <w:tbl>
      <w:tblPr>
        <w:tblW w:w="3795" w:type="dxa"/>
        <w:jc w:val="left"/>
        <w:tblInd w:w="0" w:type="dxa"/>
        <w:tblCellMar>
          <w:top w:w="28" w:type="dxa"/>
          <w:left w:w="28" w:type="dxa"/>
          <w:bottom w:w="28" w:type="dxa"/>
          <w:right w:w="28" w:type="dxa"/>
        </w:tblCellMar>
      </w:tblPr>
      <w:tblGrid>
        <w:gridCol w:w="1246"/>
        <w:gridCol w:w="146"/>
        <w:gridCol w:w="211"/>
        <w:gridCol w:w="676"/>
        <w:gridCol w:w="146"/>
        <w:gridCol w:w="146"/>
        <w:gridCol w:w="211"/>
        <w:gridCol w:w="676"/>
        <w:gridCol w:w="146"/>
        <w:gridCol w:w="191"/>
      </w:tblGrid>
      <w:tr>
        <w:trPr/>
        <w:tc>
          <w:tcPr>
            <w:tcW w:w="1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3"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r>
      <w:tr>
        <w:trPr/>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33,521</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1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1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Deferred Commissions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Commissions paid upon the initial acquisition of a contract are deferred and then amortized on a straight-line basis over a period of benefit, determined to be five years. The following table represents a roll forward of the Company’s deferred commissions for the three months ended March 31, 2023 and 2022 (in thousands): </w:t>
      </w:r>
    </w:p>
    <w:tbl>
      <w:tblPr>
        <w:tblW w:w="6164" w:type="dxa"/>
        <w:jc w:val="left"/>
        <w:tblInd w:w="0" w:type="dxa"/>
        <w:tblCellMar>
          <w:top w:w="28" w:type="dxa"/>
          <w:left w:w="28" w:type="dxa"/>
          <w:bottom w:w="28" w:type="dxa"/>
          <w:right w:w="28" w:type="dxa"/>
        </w:tblCellMar>
      </w:tblPr>
      <w:tblGrid>
        <w:gridCol w:w="3721"/>
        <w:gridCol w:w="146"/>
        <w:gridCol w:w="211"/>
        <w:gridCol w:w="676"/>
        <w:gridCol w:w="166"/>
        <w:gridCol w:w="146"/>
        <w:gridCol w:w="211"/>
        <w:gridCol w:w="676"/>
        <w:gridCol w:w="211"/>
      </w:tblGrid>
      <w:tr>
        <w:trPr/>
        <w:tc>
          <w:tcPr>
            <w:tcW w:w="3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3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28,685</w:t>
            </w:r>
          </w:p>
        </w:tc>
        <w:tc>
          <w:tcPr>
            <w:tcW w:w="211" w:type="dxa"/>
            <w:tcBorders/>
            <w:shd w:fill="auto" w:val="cle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to deferred commissions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4,421</w:t>
            </w:r>
          </w:p>
        </w:tc>
        <w:tc>
          <w:tcPr>
            <w:tcW w:w="211" w:type="dxa"/>
            <w:tcBorders/>
            <w:shd w:fill="auto" w:val="cle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commissions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31,075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commissions, current portion</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8,876</w:t>
            </w:r>
          </w:p>
        </w:tc>
        <w:tc>
          <w:tcPr>
            <w:tcW w:w="211" w:type="dxa"/>
            <w:tcBorders/>
            <w:shd w:fill="auto" w:val="cle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commissions, net of current portion</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22,199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commissions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31,075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(3)</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Balance Sheet Components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show the Company’s financial statement details as of March 31, 2023 and 2022 and December 31, 2022 and 2021.</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Cash, Cash Equivalents and Restricted Cash</w:t>
      </w:r>
    </w:p>
    <w:p>
      <w:pPr>
        <w:pStyle w:val="TextBody"/>
        <w:spacing w:before="120" w:after="0"/>
        <w:jc w:val="left"/>
        <w:rPr>
          <w:rFonts w:ascii="Times New Roman" w:hAnsi="Times New Roman"/>
          <w:sz w:val="20"/>
        </w:rPr>
      </w:pPr>
      <w:r>
        <w:rPr>
          <w:rFonts w:ascii="Times New Roman;serif" w:hAnsi="Times New Roman;serif"/>
          <w:b w:val="false"/>
          <w:sz w:val="20"/>
        </w:rPr>
        <w:t>The following table represents the Company's cash, cash equivalents, and restricted cash at each period end (in thousands):</w:t>
      </w:r>
      <w:r>
        <w:rPr>
          <w:rFonts w:ascii="Times New Roman" w:hAnsi="Times New Roman"/>
          <w:sz w:val="20"/>
        </w:rPr>
        <w:t xml:space="preserve"> </w:t>
      </w:r>
    </w:p>
    <w:p>
      <w:pPr>
        <w:pStyle w:val="TextBody"/>
        <w:spacing w:before="0" w:after="0"/>
        <w:jc w:val="left"/>
        <w:rPr/>
      </w:pPr>
      <w:r>
        <w:rPr/>
        <w:t> </w:t>
      </w:r>
    </w:p>
    <w:tbl>
      <w:tblPr>
        <w:tblW w:w="9172" w:type="dxa"/>
        <w:jc w:val="left"/>
        <w:tblInd w:w="0" w:type="dxa"/>
        <w:tblCellMar>
          <w:top w:w="28" w:type="dxa"/>
          <w:left w:w="28" w:type="dxa"/>
          <w:bottom w:w="28" w:type="dxa"/>
          <w:right w:w="28" w:type="dxa"/>
        </w:tblCellMar>
      </w:tblPr>
      <w:tblGrid>
        <w:gridCol w:w="3991"/>
        <w:gridCol w:w="146"/>
        <w:gridCol w:w="211"/>
        <w:gridCol w:w="781"/>
        <w:gridCol w:w="146"/>
        <w:gridCol w:w="146"/>
        <w:gridCol w:w="211"/>
        <w:gridCol w:w="781"/>
        <w:gridCol w:w="146"/>
        <w:gridCol w:w="146"/>
        <w:gridCol w:w="211"/>
        <w:gridCol w:w="781"/>
        <w:gridCol w:w="146"/>
        <w:gridCol w:w="211"/>
        <w:gridCol w:w="781"/>
        <w:gridCol w:w="146"/>
        <w:gridCol w:w="19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67" w:type="dxa"/>
            <w:gridSpan w:val="7"/>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218,494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307,445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noncurrent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214,920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301,272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219,349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308,295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Prepaid Expenses and Other Current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Prepaid expenses and other current assets consisted of the following (in thousands):</w:t>
      </w:r>
      <w:r>
        <w:rPr>
          <w:rFonts w:ascii="Times New Roman" w:hAnsi="Times New Roman"/>
          <w:sz w:val="20"/>
        </w:rPr>
        <w:t xml:space="preserve"> </w:t>
      </w:r>
    </w:p>
    <w:p>
      <w:pPr>
        <w:pStyle w:val="TextBody"/>
        <w:spacing w:before="0" w:after="0"/>
        <w:jc w:val="left"/>
        <w:rPr/>
      </w:pPr>
      <w:r>
        <w:rPr/>
        <w:t> </w:t>
      </w:r>
    </w:p>
    <w:tbl>
      <w:tblPr>
        <w:tblW w:w="7385" w:type="dxa"/>
        <w:jc w:val="left"/>
        <w:tblInd w:w="0" w:type="dxa"/>
        <w:tblCellMar>
          <w:top w:w="28" w:type="dxa"/>
          <w:left w:w="28" w:type="dxa"/>
          <w:bottom w:w="28" w:type="dxa"/>
          <w:right w:w="28" w:type="dxa"/>
        </w:tblCellMar>
      </w:tblPr>
      <w:tblGrid>
        <w:gridCol w:w="3856"/>
        <w:gridCol w:w="146"/>
        <w:gridCol w:w="342"/>
        <w:gridCol w:w="1098"/>
        <w:gridCol w:w="146"/>
        <w:gridCol w:w="146"/>
        <w:gridCol w:w="299"/>
        <w:gridCol w:w="961"/>
        <w:gridCol w:w="39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4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hosting</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9,759</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prepaid expenses and other assets</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10,576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8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prepaid expense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20,335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Accrued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Accrued expenses consisted of the following (in thousands):</w:t>
      </w:r>
      <w:r>
        <w:rPr>
          <w:rFonts w:ascii="Times New Roman" w:hAnsi="Times New Roman"/>
          <w:sz w:val="20"/>
        </w:rPr>
        <w:t xml:space="preserve"> </w:t>
      </w:r>
    </w:p>
    <w:p>
      <w:pPr>
        <w:pStyle w:val="TextBody"/>
        <w:spacing w:before="0" w:after="0"/>
        <w:jc w:val="left"/>
        <w:rPr/>
      </w:pPr>
      <w:r>
        <w:rPr/>
        <w:t> </w:t>
      </w:r>
    </w:p>
    <w:tbl>
      <w:tblPr>
        <w:tblW w:w="7670" w:type="dxa"/>
        <w:jc w:val="left"/>
        <w:tblInd w:w="0" w:type="dxa"/>
        <w:tblCellMar>
          <w:top w:w="28" w:type="dxa"/>
          <w:left w:w="28" w:type="dxa"/>
          <w:bottom w:w="28" w:type="dxa"/>
          <w:right w:w="28" w:type="dxa"/>
        </w:tblCellMar>
      </w:tblPr>
      <w:tblGrid>
        <w:gridCol w:w="4141"/>
        <w:gridCol w:w="146"/>
        <w:gridCol w:w="342"/>
        <w:gridCol w:w="1098"/>
        <w:gridCol w:w="146"/>
        <w:gridCol w:w="146"/>
        <w:gridCol w:w="299"/>
        <w:gridCol w:w="961"/>
        <w:gridCol w:w="391"/>
      </w:tblGrid>
      <w:tr>
        <w:trPr/>
        <w:tc>
          <w:tcPr>
            <w:tcW w:w="4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4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commission</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4,494</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employee related taxes</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1,580</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sales tax</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from early exercised stock options</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2021 Employee Stock Purchase Plan withholding</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3,997</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18,699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b/>
          <w:sz w:val="20"/>
        </w:rPr>
      </w:pPr>
      <w:r>
        <w:rPr>
          <w:rFonts w:ascii="Times New Roman" w:hAnsi="Times New Roman"/>
          <w:b/>
          <w:sz w:val="20"/>
        </w:rPr>
        <w:t>(4)</w:t>
      </w:r>
    </w:p>
    <w:p>
      <w:pPr>
        <w:pStyle w:val="TextBody"/>
        <w:spacing w:before="120" w:after="283"/>
        <w:jc w:val="left"/>
        <w:rPr>
          <w:rFonts w:ascii="Times New Roman;serif" w:hAnsi="Times New Roman;serif"/>
          <w:b/>
          <w:sz w:val="20"/>
        </w:rPr>
      </w:pPr>
      <w:r>
        <w:rPr>
          <w:rFonts w:ascii="Times New Roman;serif" w:hAnsi="Times New Roman;serif"/>
          <w:b/>
          <w:sz w:val="20"/>
        </w:rPr>
        <w:t>Fair Value Measurements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summarizes, for financial assets measured at fair value, the respective fair value and classification by level of input within the fair value hierarchy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509"/>
        <w:gridCol w:w="146"/>
        <w:gridCol w:w="211"/>
        <w:gridCol w:w="185"/>
        <w:gridCol w:w="993"/>
        <w:gridCol w:w="146"/>
        <w:gridCol w:w="146"/>
        <w:gridCol w:w="211"/>
        <w:gridCol w:w="480"/>
        <w:gridCol w:w="1143"/>
        <w:gridCol w:w="146"/>
        <w:gridCol w:w="146"/>
        <w:gridCol w:w="211"/>
        <w:gridCol w:w="383"/>
        <w:gridCol w:w="1264"/>
        <w:gridCol w:w="166"/>
        <w:gridCol w:w="146"/>
        <w:gridCol w:w="211"/>
        <w:gridCol w:w="236"/>
        <w:gridCol w:w="1264"/>
        <w:gridCol w:w="196"/>
      </w:tblGrid>
      <w:tr>
        <w:trPr/>
        <w:tc>
          <w:tcPr>
            <w:tcW w:w="25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50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7"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1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 Fair Value</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17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2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r>
      <w:tr>
        <w:trPr/>
        <w:tc>
          <w:tcPr>
            <w:tcW w:w="250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Cash equivalents</w:t>
            </w:r>
            <w:r>
              <w:rPr>
                <w:rFonts w:ascii="Times New Roman;serif" w:hAnsi="Times New Roman;serif"/>
                <w:b/>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17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2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r>
      <w:tr>
        <w:trPr/>
        <w:tc>
          <w:tcPr>
            <w:tcW w:w="2509"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9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0"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3"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190,696</w:t>
            </w:r>
          </w:p>
        </w:tc>
        <w:tc>
          <w:tcPr>
            <w:tcW w:w="196" w:type="dxa"/>
            <w:tcBorders/>
            <w:shd w:fill="auto" w:val="clear"/>
            <w:vAlign w:val="center"/>
          </w:tcPr>
          <w:p>
            <w:pPr>
              <w:pStyle w:val="TableContents"/>
              <w:spacing w:before="0" w:after="0"/>
              <w:ind w:left="0" w:right="0" w:hanging="0"/>
              <w:jc w:val="left"/>
              <w:rPr/>
            </w:pPr>
            <w:r>
              <w:rPr/>
              <w:t> </w:t>
            </w:r>
          </w:p>
        </w:tc>
      </w:tr>
      <w:tr>
        <w:trPr/>
        <w:tc>
          <w:tcPr>
            <w:tcW w:w="250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17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2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6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r>
      <w:tr>
        <w:trPr/>
        <w:tc>
          <w:tcPr>
            <w:tcW w:w="250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17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62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6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r>
      <w:tr>
        <w:trPr/>
        <w:tc>
          <w:tcPr>
            <w:tcW w:w="2509"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U.S. governmental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84,110</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275,288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274,806</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6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jc w:val="left"/>
        <w:rPr>
          <w:rFonts w:ascii="Times New Roman;serif" w:hAnsi="Times New Roman;serif"/>
          <w:sz w:val="24"/>
        </w:rPr>
      </w:pPr>
      <w:r>
        <w:rPr>
          <w:rFonts w:ascii="Times New Roman;serif" w:hAnsi="Times New Roman;serif"/>
          <w:b w:val="false"/>
          <w:sz w:val="16"/>
        </w:rPr>
        <w:t>Included in “Cash and cash equivalents” in the Company's consolidated balance sheet as of March 31, 2023, in addition to cash of $23.4</w:t>
      </w:r>
      <w:r>
        <w:rPr>
          <w:rFonts w:ascii="Times New Roman;serif" w:hAnsi="Times New Roman;serif"/>
          <w:sz w:val="24"/>
        </w:rPr>
        <w:t xml:space="preserve"> </w:t>
      </w:r>
      <w:r>
        <w:rPr>
          <w:rFonts w:ascii="Times New Roman;serif" w:hAnsi="Times New Roman;serif"/>
          <w:b w:val="false"/>
          <w:sz w:val="16"/>
        </w:rPr>
        <w:t>million.</w:t>
      </w:r>
      <w:r>
        <w:rPr>
          <w:rFonts w:ascii="Times New Roman;serif" w:hAnsi="Times New Roman;serif"/>
          <w:sz w:val="24"/>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fair value of the Company's available-for-sale securities as of March 31, 2023, by remaining contractual maturities, was as follows (in thousands):</w:t>
      </w:r>
    </w:p>
    <w:p>
      <w:pPr>
        <w:pStyle w:val="TextBody"/>
        <w:spacing w:before="0" w:after="0"/>
        <w:jc w:val="left"/>
        <w:rPr/>
      </w:pPr>
      <w:r>
        <w:rPr/>
        <w:t> </w:t>
      </w:r>
    </w:p>
    <w:tbl>
      <w:tblPr>
        <w:tblW w:w="5227" w:type="dxa"/>
        <w:jc w:val="left"/>
        <w:tblInd w:w="0" w:type="dxa"/>
        <w:tblCellMar>
          <w:top w:w="28" w:type="dxa"/>
          <w:left w:w="28" w:type="dxa"/>
          <w:bottom w:w="28" w:type="dxa"/>
          <w:right w:w="28" w:type="dxa"/>
        </w:tblCellMar>
      </w:tblPr>
      <w:tblGrid>
        <w:gridCol w:w="2401"/>
        <w:gridCol w:w="146"/>
        <w:gridCol w:w="146"/>
        <w:gridCol w:w="146"/>
        <w:gridCol w:w="146"/>
        <w:gridCol w:w="146"/>
        <w:gridCol w:w="453"/>
        <w:gridCol w:w="1452"/>
        <w:gridCol w:w="191"/>
      </w:tblGrid>
      <w:tr>
        <w:trPr/>
        <w:tc>
          <w:tcPr>
            <w:tcW w:w="24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53,232</w:t>
            </w:r>
          </w:p>
        </w:tc>
        <w:tc>
          <w:tcPr>
            <w:tcW w:w="19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in greater than one year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30,878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84,110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Company held no marketable securities as of March 31, 2022.</w:t>
      </w:r>
      <w:r>
        <w:rPr>
          <w:rFonts w:ascii="Times New Roman" w:hAnsi="Times New Roman"/>
          <w:sz w:val="20"/>
        </w:rPr>
        <w:t xml:space="preserve"> </w:t>
      </w:r>
    </w:p>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(5)</w:t>
      </w:r>
    </w:p>
    <w:p>
      <w:pPr>
        <w:pStyle w:val="TextBody"/>
        <w:spacing w:before="160" w:after="283"/>
        <w:jc w:val="left"/>
        <w:rPr>
          <w:rFonts w:ascii="Times New Roman;serif" w:hAnsi="Times New Roman;serif"/>
          <w:b/>
          <w:sz w:val="20"/>
        </w:rPr>
      </w:pPr>
      <w:r>
        <w:rPr>
          <w:rFonts w:ascii="Times New Roman;serif" w:hAnsi="Times New Roman;serif"/>
          <w:b/>
          <w:sz w:val="20"/>
        </w:rPr>
        <w:t>Intangible Assets</w:t>
      </w:r>
    </w:p>
    <w:p>
      <w:pPr>
        <w:pStyle w:val="TextBody"/>
        <w:spacing w:before="120" w:after="0"/>
        <w:jc w:val="left"/>
        <w:rPr>
          <w:rFonts w:ascii="Times New Roman" w:hAnsi="Times New Roman"/>
          <w:sz w:val="20"/>
        </w:rPr>
      </w:pPr>
      <w:r>
        <w:rPr>
          <w:rFonts w:ascii="Times New Roman;serif" w:hAnsi="Times New Roman;serif"/>
          <w:b/>
          <w:i/>
          <w:sz w:val="20"/>
        </w:rPr>
        <w:t>Intangible Assets Other Than Goodwill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Intangible assets, net consisted of the following (in thousands):</w:t>
      </w:r>
      <w:r>
        <w:rPr>
          <w:rFonts w:ascii="Times New Roman" w:hAnsi="Times New Roman"/>
          <w:sz w:val="20"/>
        </w:rPr>
        <w:t xml:space="preserve"> </w:t>
      </w:r>
    </w:p>
    <w:tbl>
      <w:tblPr>
        <w:tblW w:w="10539" w:type="dxa"/>
        <w:jc w:val="left"/>
        <w:tblInd w:w="0" w:type="dxa"/>
        <w:tblCellMar>
          <w:top w:w="28" w:type="dxa"/>
          <w:left w:w="28" w:type="dxa"/>
          <w:bottom w:w="28" w:type="dxa"/>
          <w:right w:w="28" w:type="dxa"/>
        </w:tblCellMar>
      </w:tblPr>
      <w:tblGrid>
        <w:gridCol w:w="1309"/>
        <w:gridCol w:w="146"/>
        <w:gridCol w:w="211"/>
        <w:gridCol w:w="176"/>
        <w:gridCol w:w="692"/>
        <w:gridCol w:w="146"/>
        <w:gridCol w:w="146"/>
        <w:gridCol w:w="211"/>
        <w:gridCol w:w="235"/>
        <w:gridCol w:w="1017"/>
        <w:gridCol w:w="166"/>
        <w:gridCol w:w="146"/>
        <w:gridCol w:w="211"/>
        <w:gridCol w:w="171"/>
        <w:gridCol w:w="669"/>
        <w:gridCol w:w="146"/>
        <w:gridCol w:w="146"/>
        <w:gridCol w:w="211"/>
        <w:gridCol w:w="176"/>
        <w:gridCol w:w="692"/>
        <w:gridCol w:w="146"/>
        <w:gridCol w:w="146"/>
        <w:gridCol w:w="211"/>
        <w:gridCol w:w="235"/>
        <w:gridCol w:w="1017"/>
        <w:gridCol w:w="166"/>
        <w:gridCol w:w="146"/>
        <w:gridCol w:w="211"/>
        <w:gridCol w:w="171"/>
        <w:gridCol w:w="669"/>
        <w:gridCol w:w="398"/>
      </w:tblGrid>
      <w:tr>
        <w:trPr/>
        <w:tc>
          <w:tcPr>
            <w:tcW w:w="13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r>
      <w:tr>
        <w:trPr/>
        <w:tc>
          <w:tcPr>
            <w:tcW w:w="130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86" w:type="dxa"/>
            <w:gridSpan w:val="1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86" w:type="dxa"/>
            <w:gridSpan w:val="1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0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Gross Carrying </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Net Carrying </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Gross Carrying </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Net Carrying </w:t>
              <w:br/>
              <w:t>Amount</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0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86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68"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2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0" w:type="dxa"/>
            <w:gridSpan w:val="2"/>
            <w:tcBorders/>
            <w:shd w:fill="auto" w:val="clear"/>
            <w:vAlign w:val="center"/>
          </w:tcPr>
          <w:p>
            <w:pPr>
              <w:pStyle w:val="TableContents"/>
              <w:spacing w:before="0" w:after="0"/>
              <w:ind w:left="0" w:right="0" w:hanging="0"/>
              <w:jc w:val="center"/>
              <w:rPr/>
            </w:pPr>
            <w:r>
              <w:rPr/>
              <w:t> </w:t>
            </w:r>
          </w:p>
        </w:tc>
        <w:tc>
          <w:tcPr>
            <w:tcW w:w="398" w:type="dxa"/>
            <w:tcBorders/>
            <w:shd w:fill="auto" w:val="clear"/>
            <w:vAlign w:val="center"/>
          </w:tcPr>
          <w:p>
            <w:pPr>
              <w:pStyle w:val="TableContents"/>
              <w:spacing w:before="0" w:after="0"/>
              <w:ind w:left="0" w:right="0" w:hanging="0"/>
              <w:jc w:val="center"/>
              <w:rPr/>
            </w:pPr>
            <w:r>
              <w:rPr/>
              <w:t> </w:t>
            </w:r>
          </w:p>
        </w:tc>
      </w:tr>
      <w:tr>
        <w:trPr/>
        <w:tc>
          <w:tcPr>
            <w:tcW w:w="13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1,397</w:t>
            </w:r>
          </w:p>
        </w:tc>
        <w:tc>
          <w:tcPr>
            <w:tcW w:w="398" w:type="dxa"/>
            <w:tcBorders/>
            <w:shd w:fill="auto" w:val="clear"/>
            <w:vAlign w:val="center"/>
          </w:tcPr>
          <w:p>
            <w:pPr>
              <w:pStyle w:val="TableContents"/>
              <w:spacing w:before="0" w:after="0"/>
              <w:ind w:left="0" w:right="0" w:hanging="0"/>
              <w:jc w:val="left"/>
              <w:rPr/>
            </w:pPr>
            <w:r>
              <w:rPr/>
              <w:t> </w:t>
            </w:r>
          </w:p>
        </w:tc>
      </w:tr>
      <w:tr>
        <w:trPr/>
        <w:tc>
          <w:tcPr>
            <w:tcW w:w="13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30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Amortization expense of intangible assets was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March 31, 2023, future amortization expense is expected to be as follows (in thousands):</w:t>
      </w:r>
      <w:r>
        <w:rPr>
          <w:rFonts w:ascii="Times New Roman" w:hAnsi="Times New Roman"/>
          <w:sz w:val="20"/>
        </w:rPr>
        <w:t xml:space="preserve"> </w:t>
      </w:r>
    </w:p>
    <w:tbl>
      <w:tblPr>
        <w:tblW w:w="3000" w:type="dxa"/>
        <w:jc w:val="left"/>
        <w:tblInd w:w="0" w:type="dxa"/>
        <w:tblCellMar>
          <w:top w:w="28" w:type="dxa"/>
          <w:left w:w="28" w:type="dxa"/>
          <w:bottom w:w="28" w:type="dxa"/>
          <w:right w:w="28" w:type="dxa"/>
        </w:tblCellMar>
      </w:tblPr>
      <w:tblGrid>
        <w:gridCol w:w="1681"/>
        <w:gridCol w:w="146"/>
        <w:gridCol w:w="211"/>
        <w:gridCol w:w="571"/>
        <w:gridCol w:w="3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(6)</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Stockholders’ Equity and Equity Incentive Plans </w:t>
      </w:r>
    </w:p>
    <w:p>
      <w:pPr>
        <w:pStyle w:val="TextBody"/>
        <w:spacing w:before="120" w:after="0"/>
        <w:jc w:val="left"/>
        <w:rPr>
          <w:rFonts w:ascii="Times New Roman" w:hAnsi="Times New Roman"/>
          <w:sz w:val="20"/>
        </w:rPr>
      </w:pPr>
      <w:r>
        <w:rPr>
          <w:rFonts w:ascii="Times New Roman;serif" w:hAnsi="Times New Roman;serif"/>
          <w:b/>
          <w:i/>
          <w:sz w:val="20"/>
        </w:rPr>
        <w:t>Preferred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w:t>
      </w:r>
      <w:r>
        <w:rPr>
          <w:rFonts w:ascii="Times New Roman" w:hAnsi="Times New Roman"/>
          <w:sz w:val="20"/>
        </w:rPr>
        <w:t xml:space="preserve"> </w:t>
      </w:r>
      <w:r>
        <w:rPr>
          <w:rFonts w:ascii="Times New Roman;serif" w:hAnsi="Times New Roman;serif"/>
          <w:b w:val="false"/>
          <w:sz w:val="20"/>
        </w:rPr>
        <w:t>which authorized the issuance of 20</w:t>
      </w:r>
      <w:r>
        <w:rPr>
          <w:rFonts w:ascii="Times New Roman" w:hAnsi="Times New Roman"/>
          <w:sz w:val="20"/>
        </w:rPr>
        <w:t xml:space="preserve"> </w:t>
      </w:r>
      <w:r>
        <w:rPr>
          <w:rFonts w:ascii="Times New Roman;serif" w:hAnsi="Times New Roman;serif"/>
          <w:b w:val="false"/>
          <w:sz w:val="20"/>
        </w:rPr>
        <w:t>million shares of undesignated preferred stock with a par value of $0.00001</w:t>
      </w:r>
      <w:r>
        <w:rPr>
          <w:rFonts w:ascii="Times New Roman" w:hAnsi="Times New Roman"/>
          <w:sz w:val="20"/>
        </w:rPr>
        <w:t xml:space="preserve"> </w:t>
      </w:r>
      <w:r>
        <w:rPr>
          <w:rFonts w:ascii="Times New Roman;serif" w:hAnsi="Times New Roman;serif"/>
          <w:b w:val="false"/>
          <w:sz w:val="20"/>
        </w:rPr>
        <w:t>per share and rights and preferences, including voting rights, designated from time to time by the Company's board of directors.</w:t>
      </w:r>
    </w:p>
    <w:p>
      <w:pPr>
        <w:pStyle w:val="TextBody"/>
        <w:spacing w:before="360" w:after="0"/>
        <w:jc w:val="left"/>
        <w:rPr>
          <w:rFonts w:ascii="Times New Roman" w:hAnsi="Times New Roman"/>
          <w:sz w:val="20"/>
        </w:rPr>
      </w:pPr>
      <w:r>
        <w:rPr>
          <w:rFonts w:ascii="Times New Roman;serif" w:hAnsi="Times New Roman;serif"/>
          <w:b/>
          <w:i/>
          <w:sz w:val="20"/>
        </w:rPr>
        <w:t>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two classes of common stock: Class A common stock and Class B common stock. The Company's amended and restated certificate of incorporation authorizes the issuance of 600</w:t>
      </w:r>
      <w:r>
        <w:rPr>
          <w:rFonts w:ascii="Times New Roman" w:hAnsi="Times New Roman"/>
          <w:sz w:val="20"/>
        </w:rPr>
        <w:t xml:space="preserve"> </w:t>
      </w:r>
      <w:r>
        <w:rPr>
          <w:rFonts w:ascii="Times New Roman;serif" w:hAnsi="Times New Roman;serif"/>
          <w:b w:val="false"/>
          <w:sz w:val="20"/>
        </w:rPr>
        <w:t>million shares of Class A common stock and 600</w:t>
      </w:r>
      <w:r>
        <w:rPr>
          <w:rFonts w:ascii="Times New Roman" w:hAnsi="Times New Roman"/>
          <w:sz w:val="20"/>
        </w:rPr>
        <w:t xml:space="preserve"> </w:t>
      </w:r>
      <w:r>
        <w:rPr>
          <w:rFonts w:ascii="Times New Roman;serif" w:hAnsi="Times New Roman;serif"/>
          <w:b w:val="false"/>
          <w:sz w:val="20"/>
        </w:rPr>
        <w:t>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w:t>
      </w:r>
      <w:r>
        <w:rPr>
          <w:rFonts w:ascii="Times New Roman" w:hAnsi="Times New Roman"/>
          <w:sz w:val="20"/>
        </w:rPr>
        <w:t xml:space="preserve"> </w:t>
      </w:r>
      <w:r>
        <w:rPr>
          <w:rFonts w:ascii="Times New Roman;serif" w:hAnsi="Times New Roman;serif"/>
          <w:b w:val="false"/>
          <w:sz w:val="20"/>
        </w:rPr>
        <w:t>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spacing w:before="240" w:after="0"/>
        <w:jc w:val="left"/>
        <w:rPr>
          <w:rFonts w:ascii="Times New Roman" w:hAnsi="Times New Roman"/>
          <w:sz w:val="20"/>
        </w:rPr>
      </w:pPr>
      <w:r>
        <w:rPr>
          <w:rFonts w:ascii="Times New Roman;serif" w:hAnsi="Times New Roman;serif"/>
          <w:b w:val="false"/>
          <w:sz w:val="20"/>
        </w:rPr>
        <w:t>The Company has reserved shares of its common stock as follows:</w:t>
      </w:r>
      <w:r>
        <w:rPr>
          <w:rFonts w:ascii="Times New Roman" w:hAnsi="Times New Roman"/>
          <w:sz w:val="20"/>
        </w:rPr>
        <w:t xml:space="preserve"> </w:t>
      </w:r>
    </w:p>
    <w:p>
      <w:pPr>
        <w:pStyle w:val="TextBody"/>
        <w:spacing w:before="0" w:after="0"/>
        <w:jc w:val="left"/>
        <w:rPr/>
      </w:pPr>
      <w:r>
        <w:rPr/>
        <w:t> </w:t>
      </w:r>
    </w:p>
    <w:tbl>
      <w:tblPr>
        <w:tblW w:w="9082" w:type="dxa"/>
        <w:jc w:val="left"/>
        <w:tblInd w:w="0" w:type="dxa"/>
        <w:tblCellMar>
          <w:top w:w="28" w:type="dxa"/>
          <w:left w:w="28" w:type="dxa"/>
          <w:bottom w:w="28" w:type="dxa"/>
          <w:right w:w="28" w:type="dxa"/>
        </w:tblCellMar>
      </w:tblPr>
      <w:tblGrid>
        <w:gridCol w:w="5566"/>
        <w:gridCol w:w="146"/>
        <w:gridCol w:w="146"/>
        <w:gridCol w:w="1036"/>
        <w:gridCol w:w="146"/>
        <w:gridCol w:w="146"/>
        <w:gridCol w:w="161"/>
        <w:gridCol w:w="1144"/>
        <w:gridCol w:w="591"/>
      </w:tblGrid>
      <w:tr>
        <w:trPr/>
        <w:tc>
          <w:tcPr>
            <w:tcW w:w="5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w:t>
              <w:b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w:t>
              <w:br/>
              <w:t xml:space="preserve">December 31, </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5"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2014 Stock Option and Grant Plan and 2021 Incentive Award Plan:</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5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plan stock options outstanding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16,169,545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1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16,767,752</w:t>
            </w:r>
          </w:p>
        </w:tc>
        <w:tc>
          <w:tcPr>
            <w:tcW w:w="591" w:type="dxa"/>
            <w:tcBorders/>
            <w:shd w:fill="auto" w:val="clear"/>
            <w:vAlign w:val="center"/>
          </w:tcPr>
          <w:p>
            <w:pPr>
              <w:pStyle w:val="TableContents"/>
              <w:spacing w:before="0" w:after="0"/>
              <w:ind w:left="0" w:right="0" w:firstLine="200"/>
              <w:jc w:val="left"/>
              <w:rPr/>
            </w:pPr>
            <w:r>
              <w:rPr/>
              <w:t> </w:t>
            </w:r>
          </w:p>
        </w:tc>
      </w:tr>
      <w:tr>
        <w:trPr/>
        <w:tc>
          <w:tcPr>
            <w:tcW w:w="55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RSUs outstanding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10,635,635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1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9,914,125</w:t>
            </w:r>
          </w:p>
        </w:tc>
        <w:tc>
          <w:tcPr>
            <w:tcW w:w="591" w:type="dxa"/>
            <w:tcBorders/>
            <w:shd w:fill="auto" w:val="clear"/>
            <w:vAlign w:val="center"/>
          </w:tcPr>
          <w:p>
            <w:pPr>
              <w:pStyle w:val="TableContents"/>
              <w:spacing w:before="0" w:after="0"/>
              <w:ind w:left="0" w:right="0" w:firstLine="200"/>
              <w:jc w:val="left"/>
              <w:rPr/>
            </w:pPr>
            <w:r>
              <w:rPr/>
              <w:t> </w:t>
            </w:r>
          </w:p>
        </w:tc>
      </w:tr>
      <w:tr>
        <w:trPr/>
        <w:tc>
          <w:tcPr>
            <w:tcW w:w="55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Shares available for future issuance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20,977,550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1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16,774,634</w:t>
            </w:r>
          </w:p>
        </w:tc>
        <w:tc>
          <w:tcPr>
            <w:tcW w:w="591" w:type="dxa"/>
            <w:tcBorders/>
            <w:shd w:fill="auto" w:val="clear"/>
            <w:vAlign w:val="center"/>
          </w:tcPr>
          <w:p>
            <w:pPr>
              <w:pStyle w:val="TableContents"/>
              <w:spacing w:before="0" w:after="0"/>
              <w:ind w:left="0" w:right="0" w:hanging="0"/>
              <w:jc w:val="left"/>
              <w:rPr/>
            </w:pPr>
            <w:r>
              <w:rPr/>
              <w:t> </w:t>
            </w:r>
          </w:p>
        </w:tc>
      </w:tr>
      <w:tr>
        <w:trPr/>
        <w:tc>
          <w:tcPr>
            <w:tcW w:w="5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2021 Employee Stock Purchase Plan:</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5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Shares available for future issuance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4,553,786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3,411,791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5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reserved 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52,336,516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46,868,302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Equity Incentive Plans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2014 Stock Option and Grant Plan</w:t>
      </w:r>
    </w:p>
    <w:p>
      <w:pPr>
        <w:pStyle w:val="TextBody"/>
        <w:spacing w:before="120" w:after="0"/>
        <w:jc w:val="left"/>
        <w:rPr>
          <w:rFonts w:ascii="Times New Roman" w:hAnsi="Times New Roman"/>
          <w:sz w:val="20"/>
        </w:rPr>
      </w:pPr>
      <w:r>
        <w:rPr>
          <w:rFonts w:ascii="Times New Roman;serif" w:hAnsi="Times New Roman;serif"/>
          <w:b w:val="false"/>
          <w:sz w:val="20"/>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2021 Incentive Award Plan</w:t>
      </w:r>
    </w:p>
    <w:p>
      <w:pPr>
        <w:pStyle w:val="TextBody"/>
        <w:spacing w:before="120" w:after="0"/>
        <w:jc w:val="left"/>
        <w:rPr>
          <w:rFonts w:ascii="Times New Roman" w:hAnsi="Times New Roman"/>
          <w:sz w:val="20"/>
        </w:rPr>
      </w:pPr>
      <w:r>
        <w:rPr>
          <w:rFonts w:ascii="Times New Roman;serif" w:hAnsi="Times New Roman;serif"/>
          <w:b w:val="false"/>
          <w:sz w:val="20"/>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March 31, 2023, a total of 20,977,550</w:t>
      </w:r>
      <w:r>
        <w:rPr>
          <w:rFonts w:ascii="Times New Roman" w:hAnsi="Times New Roman"/>
          <w:sz w:val="20"/>
        </w:rPr>
        <w:t xml:space="preserve"> </w:t>
      </w:r>
      <w:r>
        <w:rPr>
          <w:rFonts w:ascii="Times New Roman;serif" w:hAnsi="Times New Roman;serif"/>
          <w:b w:val="false"/>
          <w:sz w:val="20"/>
        </w:rPr>
        <w:t>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w:t>
      </w:r>
      <w:r>
        <w:rPr>
          <w:rFonts w:ascii="Times New Roman" w:hAnsi="Times New Roman"/>
          <w:sz w:val="20"/>
        </w:rPr>
        <w:t xml:space="preserve"> </w:t>
      </w:r>
      <w:r>
        <w:rPr>
          <w:rFonts w:ascii="Times New Roman;serif" w:hAnsi="Times New Roman;serif"/>
          <w:b w:val="false"/>
          <w:sz w:val="20"/>
        </w:rPr>
        <w:t>shares of stock may be issued upon the exercise of incentive stock options.</w:t>
      </w:r>
    </w:p>
    <w:p>
      <w:pPr>
        <w:pStyle w:val="TextBody"/>
        <w:spacing w:before="360" w:after="0"/>
        <w:jc w:val="left"/>
        <w:rPr>
          <w:rFonts w:ascii="Times New Roman" w:hAnsi="Times New Roman"/>
          <w:sz w:val="20"/>
        </w:rPr>
      </w:pPr>
      <w:r>
        <w:rPr>
          <w:rFonts w:ascii="Times New Roman;serif" w:hAnsi="Times New Roman;serif"/>
          <w:b w:val="false"/>
          <w:i/>
          <w:sz w:val="20"/>
        </w:rPr>
        <w:t>Stock Option Awards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Stock options granted under the 2014 Plan and the 2021 Plan (collectively, the “combined stock plans”) generally vest based on continued service over four years. Options issued outside of the combined stock plans were immaterial and therefore not discussed further below.</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Option activity under the Company's combined stock plans for the three months ended March 31, 2023 is set forth below:</w:t>
      </w:r>
    </w:p>
    <w:p>
      <w:pPr>
        <w:pStyle w:val="TextBody"/>
        <w:spacing w:before="0" w:after="0"/>
        <w:jc w:val="left"/>
        <w:rPr/>
      </w:pPr>
      <w:r>
        <w:rPr/>
        <w:t> </w:t>
      </w:r>
    </w:p>
    <w:tbl>
      <w:tblPr>
        <w:tblW w:w="8673" w:type="dxa"/>
        <w:jc w:val="left"/>
        <w:tblInd w:w="0" w:type="dxa"/>
        <w:tblCellMar>
          <w:top w:w="28" w:type="dxa"/>
          <w:left w:w="28" w:type="dxa"/>
          <w:bottom w:w="28" w:type="dxa"/>
          <w:right w:w="28" w:type="dxa"/>
        </w:tblCellMar>
      </w:tblPr>
      <w:tblGrid>
        <w:gridCol w:w="2986"/>
        <w:gridCol w:w="146"/>
        <w:gridCol w:w="146"/>
        <w:gridCol w:w="1036"/>
        <w:gridCol w:w="166"/>
        <w:gridCol w:w="146"/>
        <w:gridCol w:w="247"/>
        <w:gridCol w:w="669"/>
        <w:gridCol w:w="146"/>
        <w:gridCol w:w="146"/>
        <w:gridCol w:w="256"/>
        <w:gridCol w:w="825"/>
        <w:gridCol w:w="146"/>
        <w:gridCol w:w="146"/>
        <w:gridCol w:w="271"/>
        <w:gridCol w:w="1004"/>
        <w:gridCol w:w="191"/>
      </w:tblGrid>
      <w:tr>
        <w:trPr/>
        <w:tc>
          <w:tcPr>
            <w:tcW w:w="2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Aggregate</w:t>
            </w:r>
          </w:p>
        </w:tc>
        <w:tc>
          <w:tcPr>
            <w:tcW w:w="191" w:type="dxa"/>
            <w:tcBorders/>
            <w:shd w:fill="auto" w:val="clear"/>
            <w:vAlign w:val="center"/>
          </w:tcPr>
          <w:p>
            <w:pPr>
              <w:pStyle w:val="TableContents"/>
              <w:spacing w:before="0" w:after="0"/>
              <w:ind w:left="0" w:right="0" w:hanging="0"/>
              <w:jc w:val="center"/>
              <w:rPr/>
            </w:pPr>
            <w:r>
              <w:rPr/>
              <w:t> </w:t>
            </w:r>
          </w:p>
        </w:tc>
      </w:tr>
      <w:tr>
        <w:trPr/>
        <w:tc>
          <w:tcPr>
            <w:tcW w:w="29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Outstanding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remaining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intrinsic</w:t>
            </w:r>
          </w:p>
        </w:tc>
        <w:tc>
          <w:tcPr>
            <w:tcW w:w="191" w:type="dxa"/>
            <w:tcBorders/>
            <w:shd w:fill="auto" w:val="clear"/>
            <w:vAlign w:val="center"/>
          </w:tcPr>
          <w:p>
            <w:pPr>
              <w:pStyle w:val="TableContents"/>
              <w:spacing w:before="0" w:after="0"/>
              <w:ind w:left="0" w:right="0" w:hanging="0"/>
              <w:jc w:val="center"/>
              <w:rPr/>
            </w:pPr>
            <w:r>
              <w:rPr/>
              <w:t> </w:t>
            </w:r>
          </w:p>
        </w:tc>
      </w:tr>
      <w:tr>
        <w:trPr/>
        <w:tc>
          <w:tcPr>
            <w:tcW w:w="29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stock</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exercise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contractual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value</w:t>
            </w:r>
          </w:p>
        </w:tc>
        <w:tc>
          <w:tcPr>
            <w:tcW w:w="191" w:type="dxa"/>
            <w:tcBorders/>
            <w:shd w:fill="auto" w:val="clear"/>
            <w:vAlign w:val="center"/>
          </w:tcPr>
          <w:p>
            <w:pPr>
              <w:pStyle w:val="TableContents"/>
              <w:spacing w:before="0" w:after="0"/>
              <w:ind w:left="0" w:right="0" w:hanging="0"/>
              <w:jc w:val="center"/>
              <w:rPr/>
            </w:pPr>
            <w:r>
              <w:rPr/>
              <w:t> </w:t>
            </w:r>
          </w:p>
        </w:tc>
      </w:tr>
      <w:tr>
        <w:trPr/>
        <w:tc>
          <w:tcPr>
            <w:tcW w:w="29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life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as of December 31, 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16,767,752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132,298</w:t>
            </w:r>
          </w:p>
        </w:tc>
        <w:tc>
          <w:tcPr>
            <w:tcW w:w="1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241,819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(554,344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Cancelled/forfeited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(285,682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Balances as of March 31, 2023</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16,169,545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130,973</w:t>
            </w:r>
          </w:p>
        </w:tc>
        <w:tc>
          <w:tcPr>
            <w:tcW w:w="1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Exercisable as of March 31, 2023</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12,764,513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115,519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6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 xml:space="preserve">As no forfeitures are estimated due to the Company's adoption of ASU No. 2016-09, all options are vested or expected to vest. As of March 31, 2023, no options were outstanding that were subject to a future performance condition </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jc w:val="left"/>
        <w:rPr>
          <w:rFonts w:ascii="Times New Roman;serif" w:hAnsi="Times New Roman;serif"/>
          <w:b w:val="false"/>
          <w:sz w:val="16"/>
        </w:rPr>
      </w:pPr>
      <w:r>
        <w:rPr>
          <w:rFonts w:ascii="Times New Roman;serif" w:hAnsi="Times New Roman;serif"/>
          <w:b w:val="false"/>
          <w:sz w:val="16"/>
        </w:rPr>
        <w:t xml:space="preserve">Exercisable shares include vested options as well as unvested shares that can be early exercised </w:t>
      </w:r>
    </w:p>
    <w:p>
      <w:pPr>
        <w:pStyle w:val="TextBody"/>
        <w:spacing w:before="240" w:after="0"/>
        <w:jc w:val="left"/>
        <w:rPr>
          <w:rFonts w:ascii="Times New Roman" w:hAnsi="Times New Roman"/>
          <w:sz w:val="20"/>
        </w:rPr>
      </w:pPr>
      <w:r>
        <w:rPr>
          <w:rFonts w:ascii="Times New Roman;serif" w:hAnsi="Times New Roman;serif"/>
          <w:b w:val="false"/>
          <w:sz w:val="20"/>
        </w:rPr>
        <w:t>During December 2020, the Company granted 1,756,545</w:t>
      </w:r>
      <w:r>
        <w:rPr>
          <w:rFonts w:ascii="Times New Roman" w:hAnsi="Times New Roman"/>
          <w:sz w:val="20"/>
        </w:rPr>
        <w:t xml:space="preserve"> </w:t>
      </w:r>
      <w:r>
        <w:rPr>
          <w:rFonts w:ascii="Times New Roman;serif" w:hAnsi="Times New Roman;serif"/>
          <w:b w:val="false"/>
          <w:sz w:val="20"/>
        </w:rPr>
        <w:t>stock options to two executives which contain both a service condition and a performance condition (collectively, the “Performance Options”). Based on the terms of the Performance Options, the vesting commencement date is defined as the date on which a registration statement on Form S-1 filed with the SEC becomes effective (a “QPO Event”). In conjunction with the Direct Listing, a QPO Event occurred and therefore the options began to vest 1/24th each month subsequent to September 21, 2021. During the three months ended March 31, 2023 and 2022, the Company recognized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$0.5</w:t>
      </w:r>
      <w:r>
        <w:rPr>
          <w:rFonts w:ascii="Times New Roman" w:hAnsi="Times New Roman"/>
          <w:sz w:val="20"/>
        </w:rPr>
        <w:t xml:space="preserve"> </w:t>
      </w:r>
      <w:r>
        <w:rPr>
          <w:rFonts w:ascii="Times New Roman;serif" w:hAnsi="Times New Roman;serif"/>
          <w:b w:val="false"/>
          <w:sz w:val="20"/>
        </w:rPr>
        <w:t>million, respectively, in stock-based compensation expense related to these Performance Options using the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accelerated attribution method. The unrecognized stock-based compensation expense for the Performance Options was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and December 31, 2022, respectively.</w:t>
      </w:r>
    </w:p>
    <w:p>
      <w:pPr>
        <w:pStyle w:val="TextBody"/>
        <w:spacing w:before="240" w:after="0"/>
        <w:jc w:val="left"/>
        <w:rPr>
          <w:rFonts w:ascii="Times New Roman" w:hAnsi="Times New Roman"/>
          <w:sz w:val="20"/>
        </w:rPr>
      </w:pPr>
      <w:r>
        <w:rPr>
          <w:rFonts w:ascii="Times New Roman;serif" w:hAnsi="Times New Roman;serif"/>
          <w:b w:val="false"/>
          <w:sz w:val="20"/>
        </w:rPr>
        <w:t>The aggregate intrinsic values of options are calculated as the difference between the exercise price of the options and the market price for shares of the Company’s common stock as of each period-end. The total intrinsic value of options exercised for the three months ended March 31, 2023 and 2022 was $5.2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$25.6</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Stock options granted during the three months ended March 31, 2023 had a weighted average grant date fair value of $6.84</w:t>
      </w:r>
      <w:r>
        <w:rPr>
          <w:rFonts w:ascii="Times New Roman" w:hAnsi="Times New Roman"/>
          <w:sz w:val="20"/>
        </w:rPr>
        <w:t xml:space="preserve"> </w:t>
      </w:r>
      <w:r>
        <w:rPr>
          <w:rFonts w:ascii="Times New Roman;serif" w:hAnsi="Times New Roman;serif"/>
          <w:b w:val="false"/>
          <w:sz w:val="20"/>
        </w:rPr>
        <w:t>per share. No stock options were granted in three months ended March 31, 2022. With the exception of the Performance Options detailed above, the fair value is being expensed over the vesting period of the options on a straight-line basis as the services are being provided. No tax benefits were realized from options during the periods.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total unrecognized stock-based compensation expense related to options outstanding under the combined stock plans was $19.3</w:t>
      </w:r>
      <w:r>
        <w:rPr>
          <w:rFonts w:ascii="Times New Roman" w:hAnsi="Times New Roman"/>
          <w:sz w:val="20"/>
        </w:rPr>
        <w:t xml:space="preserve"> </w:t>
      </w:r>
      <w:r>
        <w:rPr>
          <w:rFonts w:ascii="Times New Roman;serif" w:hAnsi="Times New Roman;serif"/>
          <w:b w:val="false"/>
          <w:sz w:val="20"/>
        </w:rPr>
        <w:t>million. This unrecognized expense as of March 31, 2023 is expected to be recognized over the weighted average remaining vesting period of 2.38</w:t>
      </w:r>
      <w:r>
        <w:rPr>
          <w:rFonts w:ascii="Times New Roman;serif" w:hAnsi="Times New Roman;serif"/>
          <w:sz w:val="20"/>
        </w:rPr>
        <w:t xml:space="preserve"> </w:t>
      </w:r>
      <w:r>
        <w:rPr>
          <w:rFonts w:ascii="Times New Roman;serif" w:hAnsi="Times New Roman;serif"/>
          <w:b w:val="false"/>
          <w:sz w:val="20"/>
        </w:rPr>
        <w:t>years. As of March 31, 2023, the Company had 354,500</w:t>
      </w:r>
      <w:r>
        <w:rPr>
          <w:rFonts w:ascii="Times New Roman" w:hAnsi="Times New Roman"/>
          <w:sz w:val="20"/>
        </w:rPr>
        <w:t xml:space="preserve"> </w:t>
      </w:r>
      <w:r>
        <w:rPr>
          <w:rFonts w:ascii="Times New Roman;serif" w:hAnsi="Times New Roman;serif"/>
          <w:b w:val="false"/>
          <w:sz w:val="20"/>
        </w:rPr>
        <w:t>shares of non-employee stock options outstanding under the combined stock plans.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fair value of each option granted to employees under the 2021 Plan is estimated on the grant date using the Black-Scholes pricing model.</w:t>
      </w:r>
    </w:p>
    <w:p>
      <w:pPr>
        <w:pStyle w:val="TextBody"/>
        <w:spacing w:before="360" w:after="0"/>
        <w:jc w:val="left"/>
        <w:rPr>
          <w:rFonts w:ascii="Times New Roman" w:hAnsi="Times New Roman"/>
          <w:sz w:val="20"/>
        </w:rPr>
      </w:pPr>
      <w:r>
        <w:rPr>
          <w:rFonts w:ascii="Times New Roman;serif" w:hAnsi="Times New Roman;serif"/>
          <w:b w:val="false"/>
          <w:i/>
          <w:sz w:val="20"/>
        </w:rPr>
        <w:t>Restricted Stock Units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months ended March 31, 2023 and 2022, the Company recorded $16.6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$6.1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stock-based compensation expense related to RSUs, respectively.</w:t>
      </w:r>
    </w:p>
    <w:p>
      <w:pPr>
        <w:pStyle w:val="TextBody"/>
        <w:spacing w:before="240" w:after="0"/>
        <w:jc w:val="left"/>
        <w:rPr>
          <w:rFonts w:ascii="Times New Roman" w:hAnsi="Times New Roman"/>
          <w:sz w:val="20"/>
        </w:rPr>
      </w:pPr>
      <w:r>
        <w:rPr>
          <w:rFonts w:ascii="Times New Roman;serif" w:hAnsi="Times New Roman;serif"/>
          <w:b w:val="false"/>
          <w:sz w:val="20"/>
        </w:rPr>
        <w:t>As of March 31, 2023, total unrecognized stock-based compensation expense related to RSUs was $170.6</w:t>
      </w:r>
      <w:r>
        <w:rPr>
          <w:rFonts w:ascii="Times New Roman" w:hAnsi="Times New Roman"/>
          <w:sz w:val="20"/>
        </w:rPr>
        <w:t xml:space="preserve"> </w:t>
      </w:r>
      <w:r>
        <w:rPr>
          <w:rFonts w:ascii="Times New Roman;serif" w:hAnsi="Times New Roman;serif"/>
          <w:b w:val="false"/>
          <w:sz w:val="20"/>
        </w:rPr>
        <w:t>million. This unrecognized expense as of March 31, 2023 is expected to be recognized over the weighted average remaining vesting period of 2.60</w:t>
      </w:r>
      <w:r>
        <w:rPr>
          <w:rFonts w:ascii="Times New Roman;serif" w:hAnsi="Times New Roman;serif"/>
          <w:sz w:val="20"/>
        </w:rPr>
        <w:t xml:space="preserve"> </w:t>
      </w:r>
      <w:r>
        <w:rPr>
          <w:rFonts w:ascii="Times New Roman;serif" w:hAnsi="Times New Roman;serif"/>
          <w:b w:val="false"/>
          <w:sz w:val="20"/>
        </w:rPr>
        <w:t>years. As of March 31, 2023, the Company had 192,019</w:t>
      </w:r>
      <w:r>
        <w:rPr>
          <w:rFonts w:ascii="Times New Roman" w:hAnsi="Times New Roman"/>
          <w:sz w:val="20"/>
        </w:rPr>
        <w:t xml:space="preserve"> </w:t>
      </w:r>
      <w:r>
        <w:rPr>
          <w:rFonts w:ascii="Times New Roman;serif" w:hAnsi="Times New Roman;serif"/>
          <w:b w:val="false"/>
          <w:sz w:val="20"/>
        </w:rPr>
        <w:t>shares of non-employee RSUs outstanding under the combined stock plans.</w:t>
      </w:r>
    </w:p>
    <w:p>
      <w:pPr>
        <w:pStyle w:val="TextBody"/>
        <w:spacing w:before="240" w:after="0"/>
        <w:jc w:val="left"/>
        <w:rPr>
          <w:rFonts w:ascii="Times New Roman" w:hAnsi="Times New Roman"/>
          <w:sz w:val="20"/>
        </w:rPr>
      </w:pPr>
      <w:r>
        <w:rPr>
          <w:rFonts w:ascii="Times New Roman;serif" w:hAnsi="Times New Roman;serif"/>
          <w:b w:val="false"/>
          <w:sz w:val="20"/>
        </w:rPr>
        <w:t>RSU activity during the three months ended March 31, 2023 was as follows:</w:t>
      </w:r>
      <w:r>
        <w:rPr>
          <w:rFonts w:ascii="Times New Roman" w:hAnsi="Times New Roman"/>
          <w:sz w:val="20"/>
        </w:rPr>
        <w:t xml:space="preserve"> </w:t>
      </w:r>
    </w:p>
    <w:p>
      <w:pPr>
        <w:pStyle w:val="TextBody"/>
        <w:spacing w:before="0" w:after="0"/>
        <w:jc w:val="left"/>
        <w:rPr/>
      </w:pPr>
      <w:r>
        <w:rPr/>
        <w:t> </w:t>
      </w:r>
    </w:p>
    <w:tbl>
      <w:tblPr>
        <w:tblW w:w="6576" w:type="dxa"/>
        <w:jc w:val="left"/>
        <w:tblInd w:w="0" w:type="dxa"/>
        <w:tblCellMar>
          <w:top w:w="28" w:type="dxa"/>
          <w:left w:w="28" w:type="dxa"/>
          <w:bottom w:w="28" w:type="dxa"/>
          <w:right w:w="28" w:type="dxa"/>
        </w:tblCellMar>
      </w:tblPr>
      <w:tblGrid>
        <w:gridCol w:w="2821"/>
        <w:gridCol w:w="146"/>
        <w:gridCol w:w="177"/>
        <w:gridCol w:w="1263"/>
        <w:gridCol w:w="166"/>
        <w:gridCol w:w="146"/>
        <w:gridCol w:w="449"/>
        <w:gridCol w:w="1217"/>
        <w:gridCol w:w="191"/>
      </w:tblGrid>
      <w:tr>
        <w:trPr/>
        <w:tc>
          <w:tcPr>
            <w:tcW w:w="2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Restricted stock</w:t>
              <w:br/>
              <w:t>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Weighted-average</w:t>
              <w:br/>
              <w:t xml:space="preserve">grant date fair </w:t>
              <w:br/>
              <w:t>value 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shd w:fill="auto" w:val="cle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9,914,125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191" w:type="dxa"/>
            <w:tcBorders/>
            <w:shd w:fill="auto" w:val="cle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1,983,923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2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w:t>
            </w:r>
          </w:p>
        </w:tc>
        <w:tc>
          <w:tcPr>
            <w:tcW w:w="191" w:type="dxa"/>
            <w:tcBorders/>
            <w:shd w:fill="auto" w:val="cle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(875,055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2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191" w:type="dxa"/>
            <w:tcBorders/>
            <w:shd w:fill="auto" w:val="cle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Cancelled/forfeited</w:t>
            </w:r>
          </w:p>
        </w:tc>
        <w:tc>
          <w:tcPr>
            <w:tcW w:w="146" w:type="dxa"/>
            <w:tcBorders/>
            <w:shd w:fill="auto" w:val="cle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(387,358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2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20.35</w:t>
            </w:r>
          </w:p>
        </w:tc>
        <w:tc>
          <w:tcPr>
            <w:tcW w:w="191" w:type="dxa"/>
            <w:tcBorders/>
            <w:shd w:fill="auto" w:val="cle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shd w:fill="auto" w:val="clear"/>
            <w:vAlign w:val="center"/>
          </w:tcPr>
          <w:p>
            <w:pPr>
              <w:pStyle w:val="TableContents"/>
              <w:spacing w:before="0" w:after="0"/>
              <w:ind w:left="0" w:right="0" w:hanging="0"/>
              <w:jc w:val="right"/>
              <w:rPr/>
            </w:pPr>
            <w:r>
              <w:rPr/>
              <w:t> </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10,635,635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2021 Employee Stock Purchase Plan</w:t>
      </w:r>
    </w:p>
    <w:p>
      <w:pPr>
        <w:pStyle w:val="TextBody"/>
        <w:spacing w:before="120" w:after="0"/>
        <w:jc w:val="left"/>
        <w:rPr>
          <w:rFonts w:ascii="Times New Roman" w:hAnsi="Times New Roman"/>
          <w:sz w:val="20"/>
        </w:rPr>
      </w:pPr>
      <w:r>
        <w:rPr>
          <w:rFonts w:ascii="Times New Roman;serif" w:hAnsi="Times New Roman;serif"/>
          <w:b w:val="false"/>
          <w:sz w:val="20"/>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March 31, 2023, a total of 4,553,786</w:t>
      </w:r>
      <w:r>
        <w:rPr>
          <w:rFonts w:ascii="Times New Roman" w:hAnsi="Times New Roman"/>
          <w:sz w:val="20"/>
        </w:rPr>
        <w:t xml:space="preserve"> </w:t>
      </w:r>
      <w:r>
        <w:rPr>
          <w:rFonts w:ascii="Times New Roman;serif" w:hAnsi="Times New Roman;serif"/>
          <w:b w:val="false"/>
          <w:sz w:val="20"/>
        </w:rPr>
        <w:t>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on the purchase date, which will occur on the last trading day of each purchase period, or such other price designated by the administrator.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initial offering period under the ESPP was longer than 12 months, commencing on September 28, 2021</w:t>
      </w:r>
      <w:r>
        <w:rPr>
          <w:rFonts w:ascii="Times New Roman" w:hAnsi="Times New Roman"/>
          <w:sz w:val="20"/>
        </w:rPr>
        <w:t xml:space="preserve"> </w:t>
      </w:r>
      <w:r>
        <w:rPr>
          <w:rFonts w:ascii="Times New Roman;serif" w:hAnsi="Times New Roman;serif"/>
          <w:b w:val="false"/>
          <w:sz w:val="20"/>
        </w:rPr>
        <w:t>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first and second purchase periods on May 14, 2022 and November 14, 2022, respectively, the corresponding offering period was terminated and participants were automatically enrolled in a new 12-month offering period commencing on May 15, 2022 and November 15, 2022 and ending on May 14, 2023 and November 14, 2023, respectively.</w:t>
      </w:r>
      <w:r>
        <w:rPr>
          <w:rFonts w:ascii="Times New Roman" w:hAnsi="Times New Roman"/>
          <w:sz w:val="20"/>
        </w:rPr>
        <w:t xml:space="preserve"> </w:t>
      </w:r>
      <w:r>
        <w:rPr>
          <w:rFonts w:ascii="Times New Roman;serif" w:hAnsi="Times New Roman;serif"/>
          <w:b w:val="false"/>
          <w:sz w:val="20"/>
        </w:rPr>
        <w:t>The impact of the rollover feature did not result in material incremental compensation cost for the three months ended March 31, 2023.</w:t>
      </w:r>
    </w:p>
    <w:p>
      <w:pPr>
        <w:pStyle w:val="TextBody"/>
        <w:spacing w:before="240" w:after="0"/>
        <w:jc w:val="left"/>
        <w:rPr>
          <w:rFonts w:ascii="Times New Roman" w:hAnsi="Times New Roman"/>
          <w:sz w:val="20"/>
        </w:rPr>
      </w:pPr>
      <w:r>
        <w:rPr>
          <w:rFonts w:ascii="Times New Roman;serif" w:hAnsi="Times New Roman;serif"/>
          <w:b w:val="false"/>
          <w:sz w:val="20"/>
        </w:rPr>
        <w:t>As of March 31, 2023,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shares have been purchased under the ESPP. During the three months ended March 31, 2023 and 2022, the Company recognized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$1.4</w:t>
      </w:r>
      <w:r>
        <w:rPr>
          <w:rFonts w:ascii="Times New Roman" w:hAnsi="Times New Roman"/>
          <w:sz w:val="20"/>
        </w:rPr>
        <w:t xml:space="preserve"> </w:t>
      </w:r>
      <w:r>
        <w:rPr>
          <w:rFonts w:ascii="Times New Roman;serif" w:hAnsi="Times New Roman;serif"/>
          <w:b w:val="false"/>
          <w:sz w:val="20"/>
        </w:rPr>
        <w:t>million of stock-based compensation expense related to the ESPP, respectively. As of March 31, 2023, total unrecognized compensation cost related to the ESPP was $1.2</w:t>
      </w:r>
      <w:r>
        <w:rPr>
          <w:rFonts w:ascii="Times New Roman" w:hAnsi="Times New Roman"/>
          <w:sz w:val="20"/>
        </w:rPr>
        <w:t xml:space="preserve"> </w:t>
      </w:r>
      <w:r>
        <w:rPr>
          <w:rFonts w:ascii="Times New Roman;serif" w:hAnsi="Times New Roman;serif"/>
          <w:b w:val="false"/>
          <w:sz w:val="20"/>
        </w:rPr>
        <w:t>million, which will be amortized over a weighted average period of 0.62</w:t>
      </w:r>
      <w:r>
        <w:rPr>
          <w:rFonts w:ascii="Times New Roman" w:hAnsi="Times New Roman"/>
          <w:sz w:val="20"/>
        </w:rPr>
        <w:t xml:space="preserve"> </w:t>
      </w:r>
      <w:r>
        <w:rPr>
          <w:rFonts w:ascii="Times New Roman;serif" w:hAnsi="Times New Roman;serif"/>
          <w:b w:val="false"/>
          <w:sz w:val="20"/>
        </w:rPr>
        <w:t>years.</w:t>
      </w:r>
    </w:p>
    <w:p>
      <w:pPr>
        <w:pStyle w:val="TextBody"/>
        <w:spacing w:before="120" w:after="0"/>
        <w:jc w:val="left"/>
        <w:rPr>
          <w:rFonts w:ascii="Times New Roman" w:hAnsi="Times New Roman"/>
          <w:sz w:val="20"/>
        </w:rPr>
      </w:pPr>
      <w:r>
        <w:rPr>
          <w:rFonts w:ascii="Times New Roman;serif" w:hAnsi="Times New Roman;serif"/>
          <w:b w:val="false"/>
          <w:sz w:val="20"/>
        </w:rPr>
        <w:t>Stock-based compensation expense, net of actual forfeitures is reflected in the condensed consolidated statement of operations and comprehensive loss (in thousands):</w:t>
      </w:r>
      <w:r>
        <w:rPr>
          <w:rFonts w:ascii="Times New Roman" w:hAnsi="Times New Roman"/>
          <w:sz w:val="20"/>
        </w:rPr>
        <w:t xml:space="preserve"> </w:t>
      </w:r>
    </w:p>
    <w:p>
      <w:pPr>
        <w:pStyle w:val="TextBody"/>
        <w:spacing w:before="0" w:after="0"/>
        <w:jc w:val="left"/>
        <w:rPr/>
      </w:pPr>
      <w:r>
        <w:rPr/>
        <w:t> </w:t>
      </w:r>
    </w:p>
    <w:tbl>
      <w:tblPr>
        <w:tblW w:w="6200" w:type="dxa"/>
        <w:jc w:val="left"/>
        <w:tblInd w:w="0" w:type="dxa"/>
        <w:tblCellMar>
          <w:top w:w="28" w:type="dxa"/>
          <w:left w:w="28" w:type="dxa"/>
          <w:bottom w:w="28" w:type="dxa"/>
          <w:right w:w="28" w:type="dxa"/>
        </w:tblCellMar>
      </w:tblPr>
      <w:tblGrid>
        <w:gridCol w:w="3451"/>
        <w:gridCol w:w="146"/>
        <w:gridCol w:w="211"/>
        <w:gridCol w:w="676"/>
        <w:gridCol w:w="146"/>
        <w:gridCol w:w="146"/>
        <w:gridCol w:w="211"/>
        <w:gridCol w:w="676"/>
        <w:gridCol w:w="146"/>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4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4,284</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3,240</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120" w:after="0"/>
        <w:jc w:val="left"/>
        <w:rPr>
          <w:rFonts w:ascii="Times New Roman" w:hAnsi="Times New Roman"/>
          <w:b/>
          <w:sz w:val="20"/>
        </w:rPr>
      </w:pPr>
      <w:r>
        <w:rPr>
          <w:rFonts w:ascii="Times New Roman" w:hAnsi="Times New Roman"/>
          <w:b/>
          <w:sz w:val="20"/>
        </w:rPr>
        <w:t>(7)</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Income Taxes </w:t>
      </w:r>
    </w:p>
    <w:p>
      <w:pPr>
        <w:pStyle w:val="TextBody"/>
        <w:spacing w:before="120" w:after="0"/>
        <w:jc w:val="left"/>
        <w:rPr>
          <w:rFonts w:ascii="Times New Roman" w:hAnsi="Times New Roman"/>
          <w:sz w:val="20"/>
        </w:rPr>
      </w:pPr>
      <w:r>
        <w:rPr>
          <w:rFonts w:ascii="Times New Roman;serif" w:hAnsi="Times New Roman;serif"/>
          <w:b w:val="false"/>
          <w:sz w:val="20"/>
        </w:rPr>
        <w:t>The Company had an effective tax rate of (1.1)%</w:t>
      </w:r>
      <w:r>
        <w:rPr>
          <w:rFonts w:ascii="Times New Roman" w:hAnsi="Times New Roman"/>
          <w:sz w:val="20"/>
        </w:rPr>
        <w:t xml:space="preserve"> </w:t>
      </w:r>
      <w:r>
        <w:rPr>
          <w:rFonts w:ascii="Times New Roman;serif" w:hAnsi="Times New Roman;serif"/>
          <w:b w:val="false"/>
          <w:sz w:val="20"/>
        </w:rPr>
        <w:t>and (1.4)%</w:t>
      </w:r>
      <w:r>
        <w:rPr>
          <w:rFonts w:ascii="Times New Roman" w:hAnsi="Times New Roman"/>
          <w:sz w:val="20"/>
        </w:rPr>
        <w:t xml:space="preserve"> </w:t>
      </w:r>
      <w:r>
        <w:rPr>
          <w:rFonts w:ascii="Times New Roman;serif" w:hAnsi="Times New Roman;serif"/>
          <w:b w:val="false"/>
          <w:sz w:val="20"/>
        </w:rPr>
        <w:t>for the three months ended March 31, 2023 and 2022, respectively. The Company continues to incur U.S. operating losses and has minimal profits in its foreign jurisdictions.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and 2022, the Company evaluated all available evidence, both positive and negative, including historical levels of income, and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pStyle w:val="TextBody"/>
        <w:spacing w:before="360" w:after="0"/>
        <w:jc w:val="left"/>
        <w:rPr>
          <w:rFonts w:ascii="Times New Roman" w:hAnsi="Times New Roman"/>
          <w:b/>
          <w:sz w:val="20"/>
        </w:rPr>
      </w:pPr>
      <w:r>
        <w:rPr>
          <w:rFonts w:ascii="Times New Roman" w:hAnsi="Times New Roman"/>
          <w:b/>
          <w:sz w:val="20"/>
        </w:rPr>
        <w:t>(8)</w:t>
      </w:r>
    </w:p>
    <w:p>
      <w:pPr>
        <w:pStyle w:val="TextBody"/>
        <w:spacing w:before="360" w:after="283"/>
        <w:jc w:val="left"/>
        <w:rPr>
          <w:rFonts w:ascii="Times New Roman;serif" w:hAnsi="Times New Roman;serif"/>
          <w:b/>
          <w:sz w:val="20"/>
        </w:rPr>
      </w:pPr>
      <w:r>
        <w:rPr>
          <w:rFonts w:ascii="Times New Roman;serif" w:hAnsi="Times New Roman;serif"/>
          <w:b/>
          <w:sz w:val="20"/>
        </w:rPr>
        <w:t>Operating Leases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components of lease expense were as follows (in thousands, except years and rate):</w:t>
      </w:r>
    </w:p>
    <w:p>
      <w:pPr>
        <w:pStyle w:val="TextBody"/>
        <w:spacing w:before="0" w:after="0"/>
        <w:jc w:val="left"/>
        <w:rPr/>
      </w:pPr>
      <w:r>
        <w:rPr/>
        <w:t> </w:t>
      </w:r>
    </w:p>
    <w:tbl>
      <w:tblPr>
        <w:tblW w:w="4013" w:type="dxa"/>
        <w:jc w:val="left"/>
        <w:tblInd w:w="0" w:type="dxa"/>
        <w:tblCellMar>
          <w:top w:w="28" w:type="dxa"/>
          <w:left w:w="28" w:type="dxa"/>
          <w:bottom w:w="28" w:type="dxa"/>
          <w:right w:w="28" w:type="dxa"/>
        </w:tblCellMar>
      </w:tblPr>
      <w:tblGrid>
        <w:gridCol w:w="1801"/>
        <w:gridCol w:w="146"/>
        <w:gridCol w:w="506"/>
        <w:gridCol w:w="1369"/>
        <w:gridCol w:w="191"/>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right"/>
              <w:rPr/>
            </w:pPr>
            <w:r>
              <w:rPr/>
              <w:t> </w:t>
            </w:r>
          </w:p>
        </w:tc>
        <w:tc>
          <w:tcPr>
            <w:tcW w:w="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w:t>
            </w:r>
          </w:p>
        </w:tc>
        <w:tc>
          <w:tcPr>
            <w:tcW w:w="19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shd w:fill="auto" w:val="clear"/>
            <w:vAlign w:val="center"/>
          </w:tcPr>
          <w:p>
            <w:pPr>
              <w:pStyle w:val="TableContents"/>
              <w:spacing w:before="0" w:after="0"/>
              <w:ind w:left="0" w:right="0" w:hanging="0"/>
              <w:jc w:val="right"/>
              <w:rPr/>
            </w:pPr>
            <w:r>
              <w:rPr/>
              <w:t> </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shd w:fill="auto" w:val="clear"/>
            <w:vAlign w:val="center"/>
          </w:tcPr>
          <w:p>
            <w:pPr>
              <w:pStyle w:val="TableContents"/>
              <w:spacing w:before="0" w:after="0"/>
              <w:ind w:left="0" w:right="0" w:hanging="0"/>
              <w:jc w:val="right"/>
              <w:rPr/>
            </w:pPr>
            <w:r>
              <w:rPr/>
              <w:t> </w:t>
            </w:r>
          </w:p>
        </w:tc>
        <w:tc>
          <w:tcPr>
            <w:tcW w:w="5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5353" w:type="dxa"/>
        <w:jc w:val="left"/>
        <w:tblInd w:w="0" w:type="dxa"/>
        <w:tblCellMar>
          <w:top w:w="28" w:type="dxa"/>
          <w:left w:w="28" w:type="dxa"/>
          <w:bottom w:w="28" w:type="dxa"/>
          <w:right w:w="28" w:type="dxa"/>
        </w:tblCellMar>
      </w:tblPr>
      <w:tblGrid>
        <w:gridCol w:w="3451"/>
        <w:gridCol w:w="146"/>
        <w:gridCol w:w="343"/>
        <w:gridCol w:w="1097"/>
        <w:gridCol w:w="316"/>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4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316"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term (years)</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316"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Supplemental cash flow information related to operating leases was as follows (in thousands):</w:t>
      </w:r>
    </w:p>
    <w:p>
      <w:pPr>
        <w:pStyle w:val="TextBody"/>
        <w:spacing w:before="0" w:after="0"/>
        <w:jc w:val="left"/>
        <w:rPr/>
      </w:pPr>
      <w:r>
        <w:rPr/>
        <w:t> </w:t>
      </w:r>
    </w:p>
    <w:tbl>
      <w:tblPr>
        <w:tblW w:w="8408" w:type="dxa"/>
        <w:jc w:val="left"/>
        <w:tblInd w:w="0" w:type="dxa"/>
        <w:tblCellMar>
          <w:top w:w="28" w:type="dxa"/>
          <w:left w:w="28" w:type="dxa"/>
          <w:bottom w:w="28" w:type="dxa"/>
          <w:right w:w="28" w:type="dxa"/>
        </w:tblCellMar>
      </w:tblPr>
      <w:tblGrid>
        <w:gridCol w:w="6196"/>
        <w:gridCol w:w="146"/>
        <w:gridCol w:w="624"/>
        <w:gridCol w:w="1251"/>
        <w:gridCol w:w="191"/>
      </w:tblGrid>
      <w:tr>
        <w:trPr/>
        <w:tc>
          <w:tcPr>
            <w:tcW w:w="6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6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liabilities</w:t>
            </w:r>
          </w:p>
        </w:tc>
        <w:tc>
          <w:tcPr>
            <w:tcW w:w="146" w:type="dxa"/>
            <w:tcBorders/>
            <w:shd w:fill="auto" w:val="clear"/>
            <w:vAlign w:val="center"/>
          </w:tcPr>
          <w:p>
            <w:pPr>
              <w:pStyle w:val="TableContents"/>
              <w:spacing w:before="0" w:after="0"/>
              <w:ind w:left="0" w:right="0" w:hanging="0"/>
              <w:jc w:val="right"/>
              <w:rPr/>
            </w:pPr>
            <w:r>
              <w:rPr/>
              <w:t> </w:t>
            </w:r>
          </w:p>
        </w:tc>
        <w:tc>
          <w:tcPr>
            <w:tcW w:w="6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 liabilities</w:t>
            </w:r>
          </w:p>
        </w:tc>
        <w:tc>
          <w:tcPr>
            <w:tcW w:w="146" w:type="dxa"/>
            <w:tcBorders/>
            <w:shd w:fill="auto" w:val="clear"/>
            <w:vAlign w:val="center"/>
          </w:tcPr>
          <w:p>
            <w:pPr>
              <w:pStyle w:val="TableContents"/>
              <w:spacing w:before="0" w:after="0"/>
              <w:ind w:left="0" w:right="0" w:hanging="0"/>
              <w:jc w:val="right"/>
              <w:rPr/>
            </w:pPr>
            <w:r>
              <w:rPr/>
              <w:t> </w:t>
            </w:r>
          </w:p>
        </w:tc>
        <w:tc>
          <w:tcPr>
            <w:tcW w:w="6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Future minimum lease payments under non-cancellable operating leases with initial lease terms in excess of one year included in the Company’s lease liabilities as of March 31, 2023 were as follows (in thousands):</w:t>
      </w:r>
    </w:p>
    <w:p>
      <w:pPr>
        <w:pStyle w:val="TextBody"/>
        <w:spacing w:before="0" w:after="0"/>
        <w:jc w:val="left"/>
        <w:rPr/>
      </w:pPr>
      <w:r>
        <w:rPr/>
        <w:t> </w:t>
      </w:r>
    </w:p>
    <w:tbl>
      <w:tblPr>
        <w:tblW w:w="5455" w:type="dxa"/>
        <w:jc w:val="left"/>
        <w:tblInd w:w="0" w:type="dxa"/>
        <w:tblCellMar>
          <w:top w:w="28" w:type="dxa"/>
          <w:left w:w="28" w:type="dxa"/>
          <w:bottom w:w="28" w:type="dxa"/>
          <w:right w:w="28" w:type="dxa"/>
        </w:tblCellMar>
      </w:tblPr>
      <w:tblGrid>
        <w:gridCol w:w="3811"/>
        <w:gridCol w:w="146"/>
        <w:gridCol w:w="211"/>
        <w:gridCol w:w="676"/>
        <w:gridCol w:w="611"/>
      </w:tblGrid>
      <w:tr>
        <w:trPr/>
        <w:tc>
          <w:tcPr>
            <w:tcW w:w="3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ending December 31:</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38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3,343</w:t>
            </w:r>
          </w:p>
        </w:tc>
        <w:tc>
          <w:tcPr>
            <w:tcW w:w="611" w:type="dxa"/>
            <w:tcBorders/>
            <w:shd w:fill="auto" w:val="clear"/>
            <w:vAlign w:val="center"/>
          </w:tcPr>
          <w:p>
            <w:pPr>
              <w:pStyle w:val="TableContents"/>
              <w:spacing w:before="0" w:after="0"/>
              <w:ind w:left="0" w:right="0" w:firstLine="200"/>
              <w:jc w:val="left"/>
              <w:rPr/>
            </w:pPr>
            <w:r>
              <w:rPr/>
              <w:t> </w:t>
            </w:r>
          </w:p>
        </w:tc>
      </w:tr>
      <w:tr>
        <w:trPr/>
        <w:tc>
          <w:tcPr>
            <w:tcW w:w="38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4,021</w:t>
            </w:r>
          </w:p>
        </w:tc>
        <w:tc>
          <w:tcPr>
            <w:tcW w:w="611" w:type="dxa"/>
            <w:tcBorders/>
            <w:shd w:fill="auto" w:val="clear"/>
            <w:vAlign w:val="center"/>
          </w:tcPr>
          <w:p>
            <w:pPr>
              <w:pStyle w:val="TableContents"/>
              <w:spacing w:before="0" w:after="0"/>
              <w:ind w:left="0" w:right="0" w:firstLine="200"/>
              <w:jc w:val="left"/>
              <w:rPr/>
            </w:pPr>
            <w:r>
              <w:rPr/>
              <w:t> </w:t>
            </w:r>
          </w:p>
        </w:tc>
      </w:tr>
      <w:tr>
        <w:trPr/>
        <w:tc>
          <w:tcPr>
            <w:tcW w:w="38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w:t>
            </w:r>
          </w:p>
        </w:tc>
        <w:tc>
          <w:tcPr>
            <w:tcW w:w="611" w:type="dxa"/>
            <w:tcBorders/>
            <w:shd w:fill="auto" w:val="clear"/>
            <w:vAlign w:val="center"/>
          </w:tcPr>
          <w:p>
            <w:pPr>
              <w:pStyle w:val="TableContents"/>
              <w:spacing w:before="0" w:after="0"/>
              <w:ind w:left="0" w:right="0" w:firstLine="200"/>
              <w:jc w:val="left"/>
              <w:rPr/>
            </w:pPr>
            <w:r>
              <w:rPr/>
              <w:t> </w:t>
            </w:r>
          </w:p>
        </w:tc>
      </w:tr>
      <w:tr>
        <w:trPr/>
        <w:tc>
          <w:tcPr>
            <w:tcW w:w="38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611" w:type="dxa"/>
            <w:tcBorders/>
            <w:shd w:fill="auto" w:val="clear"/>
            <w:vAlign w:val="center"/>
          </w:tcPr>
          <w:p>
            <w:pPr>
              <w:pStyle w:val="TableContents"/>
              <w:spacing w:before="0" w:after="0"/>
              <w:ind w:left="0" w:right="0" w:firstLine="200"/>
              <w:jc w:val="left"/>
              <w:rPr/>
            </w:pPr>
            <w:r>
              <w:rPr/>
              <w:t> </w:t>
            </w:r>
          </w:p>
        </w:tc>
      </w:tr>
      <w:tr>
        <w:trPr/>
        <w:tc>
          <w:tcPr>
            <w:tcW w:w="38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2027 and thereafter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8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undiscounted operating lease payments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10,869</w:t>
            </w:r>
          </w:p>
        </w:tc>
        <w:tc>
          <w:tcPr>
            <w:tcW w:w="611" w:type="dxa"/>
            <w:tcBorders/>
            <w:shd w:fill="auto" w:val="clear"/>
            <w:vAlign w:val="center"/>
          </w:tcPr>
          <w:p>
            <w:pPr>
              <w:pStyle w:val="TableContents"/>
              <w:spacing w:before="0" w:after="0"/>
              <w:ind w:left="0" w:right="0" w:firstLine="200"/>
              <w:jc w:val="left"/>
              <w:rPr/>
            </w:pPr>
            <w:r>
              <w:rPr/>
              <w:t> </w:t>
            </w:r>
          </w:p>
        </w:tc>
      </w:tr>
      <w:tr>
        <w:trPr/>
        <w:tc>
          <w:tcPr>
            <w:tcW w:w="38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10,474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pPr>
      <w:r>
        <w:rPr/>
        <w:t> </w:t>
      </w:r>
    </w:p>
    <w:p>
      <w:pPr>
        <w:pStyle w:val="TextBody"/>
        <w:spacing w:before="120" w:after="0"/>
        <w:jc w:val="left"/>
        <w:rPr>
          <w:rFonts w:ascii="Times New Roman" w:hAnsi="Times New Roman"/>
          <w:b/>
          <w:sz w:val="20"/>
        </w:rPr>
      </w:pPr>
      <w:r>
        <w:rPr>
          <w:rFonts w:ascii="Times New Roman" w:hAnsi="Times New Roman"/>
          <w:b/>
          <w:sz w:val="20"/>
        </w:rPr>
        <w:t>(9)</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spacing w:before="120" w:after="0"/>
        <w:jc w:val="left"/>
        <w:rPr>
          <w:rFonts w:ascii="Times New Roman" w:hAnsi="Times New Roman"/>
          <w:sz w:val="20"/>
        </w:rPr>
      </w:pPr>
      <w:r>
        <w:rPr>
          <w:rFonts w:ascii="Times New Roman;serif" w:hAnsi="Times New Roman;serif"/>
          <w:b/>
          <w:i/>
          <w:sz w:val="20"/>
        </w:rPr>
        <w:t>Legal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(10)</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pStyle w:val="TextBody"/>
        <w:spacing w:before="240" w:after="0"/>
        <w:jc w:val="left"/>
        <w:rPr>
          <w:rFonts w:ascii="Times New Roman" w:hAnsi="Times New Roman"/>
          <w:sz w:val="20"/>
        </w:rPr>
      </w:pPr>
      <w:r>
        <w:rPr>
          <w:rFonts w:ascii="Times New Roman;serif" w:hAnsi="Times New Roman;serif"/>
          <w:b w:val="false"/>
          <w:sz w:val="20"/>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following table presents the calculation of basic and diluted net loss per share (in thousands, except per share data):</w:t>
      </w:r>
      <w:r>
        <w:rPr>
          <w:rFonts w:ascii="Times New Roman" w:hAnsi="Times New Roman"/>
          <w:sz w:val="20"/>
        </w:rPr>
        <w:t xml:space="preserve"> </w:t>
      </w:r>
    </w:p>
    <w:p>
      <w:pPr>
        <w:pStyle w:val="TextBody"/>
        <w:spacing w:before="0" w:after="0"/>
        <w:jc w:val="left"/>
        <w:rPr/>
      </w:pPr>
      <w:r>
        <w:rPr/>
        <w:t> </w:t>
      </w:r>
    </w:p>
    <w:tbl>
      <w:tblPr>
        <w:tblW w:w="8460" w:type="dxa"/>
        <w:jc w:val="left"/>
        <w:tblInd w:w="0" w:type="dxa"/>
        <w:tblCellMar>
          <w:top w:w="28" w:type="dxa"/>
          <w:left w:w="28" w:type="dxa"/>
          <w:bottom w:w="28" w:type="dxa"/>
          <w:right w:w="28" w:type="dxa"/>
        </w:tblCellMar>
      </w:tblPr>
      <w:tblGrid>
        <w:gridCol w:w="5461"/>
        <w:gridCol w:w="146"/>
        <w:gridCol w:w="211"/>
        <w:gridCol w:w="781"/>
        <w:gridCol w:w="166"/>
        <w:gridCol w:w="146"/>
        <w:gridCol w:w="211"/>
        <w:gridCol w:w="781"/>
        <w:gridCol w:w="166"/>
        <w:gridCol w:w="391"/>
      </w:tblGrid>
      <w:tr>
        <w:trPr/>
        <w:tc>
          <w:tcPr>
            <w:tcW w:w="5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4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Class A and Class B common stockholders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5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w:t>
              <w:br/>
              <w:t>   attributable to Class A and Class B common stockholders,</w:t>
              <w:br/>
              <w:t>   basic and diluted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114,369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4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share attributable to Class A and Class B</w:t>
              <w:br/>
              <w:t>   common stockholders, basic and diluted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potential shares of common stock were excluded from the calculation of diluted net loss per share because their effect would have been anti-dilutive for the periods presented (in thousands):</w:t>
      </w:r>
      <w:r>
        <w:rPr>
          <w:rFonts w:ascii="Times New Roman" w:hAnsi="Times New Roman"/>
          <w:sz w:val="20"/>
        </w:rPr>
        <w:t xml:space="preserve"> </w:t>
      </w:r>
    </w:p>
    <w:p>
      <w:pPr>
        <w:pStyle w:val="TextBody"/>
        <w:spacing w:before="0" w:after="0"/>
        <w:jc w:val="left"/>
        <w:rPr/>
      </w:pPr>
      <w:r>
        <w:rPr/>
        <w:t> </w:t>
      </w:r>
    </w:p>
    <w:tbl>
      <w:tblPr>
        <w:tblW w:w="6100" w:type="dxa"/>
        <w:jc w:val="left"/>
        <w:tblInd w:w="0" w:type="dxa"/>
        <w:tblCellMar>
          <w:top w:w="28" w:type="dxa"/>
          <w:left w:w="28" w:type="dxa"/>
          <w:bottom w:w="28" w:type="dxa"/>
          <w:right w:w="28" w:type="dxa"/>
        </w:tblCellMar>
      </w:tblPr>
      <w:tblGrid>
        <w:gridCol w:w="3481"/>
        <w:gridCol w:w="146"/>
        <w:gridCol w:w="146"/>
        <w:gridCol w:w="676"/>
        <w:gridCol w:w="146"/>
        <w:gridCol w:w="146"/>
        <w:gridCol w:w="146"/>
        <w:gridCol w:w="676"/>
        <w:gridCol w:w="146"/>
        <w:gridCol w:w="3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3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14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plan stock options outstanding</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18,076</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plan stock options early exercised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607</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 outstanding</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4,091</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shares</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issuable pursuant to the ESPP</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(11) Subsequent Events</w:t>
      </w:r>
    </w:p>
    <w:p>
      <w:pPr>
        <w:pStyle w:val="TextBody"/>
        <w:spacing w:before="120" w:after="0"/>
        <w:jc w:val="left"/>
        <w:rPr>
          <w:rFonts w:ascii="Times New Roman" w:hAnsi="Times New Roman"/>
          <w:sz w:val="20"/>
        </w:rPr>
      </w:pPr>
      <w:r>
        <w:rPr>
          <w:rFonts w:ascii="Times New Roman;serif" w:hAnsi="Times New Roman;serif"/>
          <w:b w:val="false"/>
          <w:sz w:val="20"/>
        </w:rPr>
        <w:t>In April 2023, the Company issued 2.0</w:t>
      </w:r>
      <w:r>
        <w:rPr>
          <w:rFonts w:ascii="Times New Roman" w:hAnsi="Times New Roman"/>
          <w:sz w:val="20"/>
        </w:rPr>
        <w:t xml:space="preserve"> </w:t>
      </w:r>
      <w:r>
        <w:rPr>
          <w:rFonts w:ascii="Times New Roman;serif" w:hAnsi="Times New Roman;serif"/>
          <w:b w:val="false"/>
          <w:sz w:val="20"/>
        </w:rPr>
        <w:t>million RSUs to its employees with service-based vesting conditions. The service-based vesting condition for the majority of these awards are satisfied over two</w:t>
      </w:r>
      <w:r>
        <w:rPr>
          <w:rFonts w:ascii="Times New Roman" w:hAnsi="Times New Roman"/>
          <w:sz w:val="20"/>
        </w:rPr>
        <w:t xml:space="preserve"> </w:t>
      </w:r>
      <w:r>
        <w:rPr>
          <w:rFonts w:ascii="Times New Roman;serif" w:hAnsi="Times New Roman;serif"/>
          <w:b w:val="false"/>
          <w:sz w:val="20"/>
        </w:rPr>
        <w:t>or three years. The grant date fair value of the RSUs issued in April 2023 was approximately $25.4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April 3, 2023, the Company authorized a restructuring plan to reduce its global workforce by approximately 13%. The restructuring plan is intended to improve operational efficiencies and reduce operating costs, which the Company believes will allow it to scale for the future, continue its path to profitability, and deliver on its long-term vision. In connection with this reduction in workforce, the Company expects to incur non-recurring charges of approximately $7</w:t>
      </w:r>
      <w:r>
        <w:rPr>
          <w:rFonts w:ascii="Times New Roman" w:hAnsi="Times New Roman"/>
          <w:sz w:val="20"/>
        </w:rPr>
        <w:t xml:space="preserve"> </w:t>
      </w:r>
      <w:r>
        <w:rPr>
          <w:rFonts w:ascii="Times New Roman;serif" w:hAnsi="Times New Roman;serif"/>
          <w:b w:val="false"/>
          <w:sz w:val="20"/>
        </w:rPr>
        <w:t>million to $9</w:t>
      </w:r>
      <w:r>
        <w:rPr>
          <w:rFonts w:ascii="Times New Roman" w:hAnsi="Times New Roman"/>
          <w:sz w:val="20"/>
        </w:rPr>
        <w:t xml:space="preserve"> </w:t>
      </w:r>
      <w:r>
        <w:rPr>
          <w:rFonts w:ascii="Times New Roman;serif" w:hAnsi="Times New Roman;serif"/>
          <w:b w:val="false"/>
          <w:sz w:val="20"/>
        </w:rPr>
        <w:t>million, with the majority of such charges being incurred in the quarter ending June 30, 2023.</w:t>
        <w:br/>
      </w:r>
      <w:r>
        <w:rPr>
          <w:rFonts w:ascii="Times New Roman" w:hAnsi="Times New Roman"/>
          <w:sz w:val="20"/>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1" w:name="i_item2"/>
      <w:bookmarkEnd w:id="11"/>
      <w:r>
        <w:rPr>
          <w:rFonts w:ascii="Times New Roman;serif" w:hAnsi="Times New Roman;serif"/>
          <w:b/>
          <w:sz w:val="20"/>
        </w:rPr>
        <w:t>Item 2. Management’s Discussion and Analysis of Financial Condition and Results of Operations.</w:t>
      </w:r>
      <w:r>
        <w:rPr>
          <w:rFonts w:ascii="Times New Roman" w:hAnsi="Times New Roman"/>
          <w:caps/>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2022 (the “2022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Unless the context otherwise requires, all references in this report to “Amplitude,” the “Company,” “we,” “our,” “us,” or similar terms refer to Amplitude, Inc. and its subsidiaries.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Amplitude is a leading Digital Analytics Platform that provides self-service visibility into the entire customer journey. With Amplitude, organizations can build amazing product experiences, drive revenue growth, and win their categories. We work with almost 2,200 paying customers of various sizes and stages of digital maturity, across many industries, including the teams behind some of the most-beloved digital products in the world. We have experienced significant growth in recent years, with more than 700 employees in seven global offices.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pStyle w:val="TextBody"/>
        <w:spacing w:before="360" w:after="0"/>
        <w:jc w:val="left"/>
        <w:rPr>
          <w:rFonts w:ascii="Times New Roman" w:hAnsi="Times New Roman"/>
          <w:sz w:val="20"/>
        </w:rPr>
      </w:pPr>
      <w:r>
        <w:rPr>
          <w:rFonts w:ascii="Times New Roman;serif" w:hAnsi="Times New Roman;serif"/>
          <w:b/>
          <w:sz w:val="20"/>
        </w:rPr>
        <w:t>Key Factors Affecting Our Performance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Customer Acquisition and Expansion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2022, we had 2,175 and 1,701 paying customers, respectively, representing an increase of 28% year-over-year. Our relationship with some of the world’s most beloved product-led companies has resulted in increased brand credibility and access to many attractive growth opportunities.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been successful at efficiently growing our customer spend over time as evidenced by our dollar-based net retention rates. As of March 31, 2023 and 2022, our dollar-based net retention rate for the trailing twelve months was 114% and 126%, respectively, for paying customers. Additionally, our ending dollar-based net retention rate for paying customers as of March 31, 2023 and 2022, was 106% and 127%, respectively. We continue to increase the number of customers who have entered and grown into larger subscriptions with us.</w:t>
      </w:r>
    </w:p>
    <w:p>
      <w:pPr>
        <w:pStyle w:val="TextBody"/>
        <w:spacing w:before="360" w:after="0"/>
        <w:jc w:val="left"/>
        <w:rPr>
          <w:rFonts w:ascii="Times New Roman" w:hAnsi="Times New Roman"/>
          <w:sz w:val="20"/>
        </w:rPr>
      </w:pPr>
      <w:r>
        <w:rPr>
          <w:rFonts w:ascii="Times New Roman;serif" w:hAnsi="Times New Roman;serif"/>
          <w:b/>
          <w:i/>
          <w:sz w:val="20"/>
        </w:rPr>
        <w:t>Investments in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predictive analytics and data instrumentation capabilities. Going forward, we may pursue both strategic partnerships and acquisitions that we believe will be complementary to our business, accelerate customer acquisition, increase usage of our platform, and/or expand our product offerings in our core markets.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Investing for Growth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Finally, we see opportunities to expand offices and headcount internationally to better service targeted international markets where we believe we have significant opportunity to accelerate existing traction and success. For the three months ended March 31, 2023, 39% of our revenue was generated outside the United States, respectively. As we seek to expand our business globally, we may be adversely affected by global economic and political instability. For example, as a result of the Russia-Ukraine war,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geographical expansion, creating a variety of operational challenges.”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Key Business Metrics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r>
        <w:rPr>
          <w:rFonts w:ascii="Times New Roman" w:hAnsi="Times New Roman"/>
          <w:sz w:val="20"/>
        </w:rPr>
        <w:t xml:space="preserve"> </w:t>
      </w:r>
    </w:p>
    <w:tbl>
      <w:tblPr>
        <w:tblW w:w="7136" w:type="dxa"/>
        <w:jc w:val="left"/>
        <w:tblInd w:w="0" w:type="dxa"/>
        <w:tblCellMar>
          <w:top w:w="28" w:type="dxa"/>
          <w:left w:w="28" w:type="dxa"/>
          <w:bottom w:w="28" w:type="dxa"/>
          <w:right w:w="28" w:type="dxa"/>
        </w:tblCellMar>
      </w:tblPr>
      <w:tblGrid>
        <w:gridCol w:w="3376"/>
        <w:gridCol w:w="146"/>
        <w:gridCol w:w="211"/>
        <w:gridCol w:w="571"/>
        <w:gridCol w:w="271"/>
        <w:gridCol w:w="146"/>
        <w:gridCol w:w="211"/>
        <w:gridCol w:w="571"/>
        <w:gridCol w:w="271"/>
        <w:gridCol w:w="146"/>
        <w:gridCol w:w="1216"/>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YoY Growth</w:t>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(dollar values in millions)</w:t>
            </w:r>
          </w:p>
        </w:tc>
        <w:tc>
          <w:tcPr>
            <w:tcW w:w="1216" w:type="dxa"/>
            <w:tcBorders/>
            <w:shd w:fill="auto" w:val="cle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Paying Customers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28%</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Annual Recurring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Dollar-Based Net Retention Rate (TTM)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21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Paying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Annual Recurring Revenue</w:t>
      </w:r>
    </w:p>
    <w:p>
      <w:pPr>
        <w:pStyle w:val="TextBody"/>
        <w:spacing w:before="120" w:after="0"/>
        <w:jc w:val="left"/>
        <w:rPr>
          <w:rFonts w:ascii="Times New Roman" w:hAnsi="Times New Roman"/>
          <w:sz w:val="20"/>
        </w:rPr>
      </w:pPr>
      <w:r>
        <w:rPr>
          <w:rFonts w:ascii="Times New Roman;serif" w:hAnsi="Times New Roman;serif"/>
          <w:b w:val="false"/>
          <w:sz w:val="20"/>
        </w:rPr>
        <w:t>We define annual recurring revenue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also not intended to be a forecast of revenue.</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Dollar-Based Net Retention Rate</w:t>
      </w:r>
    </w:p>
    <w:p>
      <w:pPr>
        <w:pStyle w:val="TextBody"/>
        <w:spacing w:before="120" w:after="0"/>
        <w:jc w:val="left"/>
        <w:rPr>
          <w:rFonts w:ascii="Times New Roman" w:hAnsi="Times New Roman"/>
          <w:sz w:val="20"/>
        </w:rPr>
      </w:pPr>
      <w:r>
        <w:rPr>
          <w:rFonts w:ascii="Times New Roman;serif" w:hAnsi="Times New Roman;serif"/>
          <w:b w:val="false"/>
          <w:sz w:val="20"/>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pStyle w:val="TextBody"/>
        <w:spacing w:before="360" w:after="0"/>
        <w:jc w:val="left"/>
        <w:rPr>
          <w:rFonts w:ascii="Times New Roman" w:hAnsi="Times New Roman"/>
          <w:sz w:val="20"/>
        </w:rPr>
      </w:pPr>
      <w:r>
        <w:rPr>
          <w:rFonts w:ascii="Times New Roman;serif" w:hAnsi="Times New Roman;serif"/>
          <w:b/>
          <w:sz w:val="20"/>
        </w:rPr>
        <w:t>Response to COVID-19</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resulted in favorable trends for our business and the businesses of those customers who have been able to leverage digital analytics of their products as sales increasingly shifted online, but such trends have normalized.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Although we believe the COVID-19 pandemic has largely resulted in favorable trends for our business to date, we have experienced business disruptions, including requiring us to manage a significant majority of our workforce remotely and restrictions on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pandemic has resulted in, and may continue to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 See “Risk Factors”</w:t>
      </w:r>
      <w:r>
        <w:rPr>
          <w:rFonts w:ascii="Times New Roman" w:hAnsi="Times New Roman"/>
          <w:sz w:val="20"/>
        </w:rPr>
        <w:t xml:space="preserve"> </w:t>
      </w:r>
      <w:r>
        <w:rPr>
          <w:rFonts w:ascii="Times New Roman;serif" w:hAnsi="Times New Roman;serif"/>
          <w:b w:val="false"/>
          <w:sz w:val="20"/>
        </w:rPr>
        <w:t>included under Part II, Item 1A of this Quarterly Report on Form 10-Q for further discussion of the impact of the COVID-19 pandemic on our business.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Non-GAAP Financial Measures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r>
        <w:rPr>
          <w:rFonts w:ascii="Times New Roman" w:hAnsi="Times New Roman"/>
          <w:sz w:val="20"/>
        </w:rPr>
        <w:t xml:space="preserve"> </w:t>
      </w:r>
    </w:p>
    <w:tbl>
      <w:tblPr>
        <w:tblW w:w="6983" w:type="dxa"/>
        <w:jc w:val="left"/>
        <w:tblInd w:w="0" w:type="dxa"/>
        <w:tblCellMar>
          <w:top w:w="28" w:type="dxa"/>
          <w:left w:w="28" w:type="dxa"/>
          <w:bottom w:w="28" w:type="dxa"/>
          <w:right w:w="28" w:type="dxa"/>
        </w:tblCellMar>
      </w:tblPr>
      <w:tblGrid>
        <w:gridCol w:w="3856"/>
        <w:gridCol w:w="146"/>
        <w:gridCol w:w="217"/>
        <w:gridCol w:w="759"/>
        <w:gridCol w:w="341"/>
        <w:gridCol w:w="150"/>
        <w:gridCol w:w="217"/>
        <w:gridCol w:w="759"/>
        <w:gridCol w:w="341"/>
        <w:gridCol w:w="197"/>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1"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47,290</w:t>
            </w:r>
          </w:p>
        </w:tc>
        <w:tc>
          <w:tcPr>
            <w:tcW w:w="34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37,002</w:t>
            </w:r>
          </w:p>
        </w:tc>
        <w:tc>
          <w:tcPr>
            <w:tcW w:w="341"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Profit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49,504</w:t>
            </w:r>
          </w:p>
        </w:tc>
        <w:tc>
          <w:tcPr>
            <w:tcW w:w="34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38,413</w:t>
            </w:r>
          </w:p>
        </w:tc>
        <w:tc>
          <w:tcPr>
            <w:tcW w:w="341"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(29,173</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(21,991</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(7,897</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(7,726</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(8,289</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(5,838</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(9,596</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Non-GAAP Gross Profit, Non-GAAP Gross Margin, Non-GAAP Loss from Operations, and Non-GAAP Loss from Operations Margin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Non-GAAP gross margin is calculated as non-GAAP gross profit divided by total revenue.</w:t>
      </w:r>
    </w:p>
    <w:p>
      <w:pPr>
        <w:pStyle w:val="TextBody"/>
        <w:spacing w:before="240" w:after="0"/>
        <w:jc w:val="left"/>
        <w:rPr>
          <w:rFonts w:ascii="Times New Roman" w:hAnsi="Times New Roman"/>
          <w:sz w:val="20"/>
        </w:rPr>
      </w:pPr>
      <w:r>
        <w:rPr>
          <w:rFonts w:ascii="Times New Roman;serif" w:hAnsi="Times New Roman;serif"/>
          <w:b w:val="false"/>
          <w:sz w:val="20"/>
        </w:rPr>
        <w:t>We define non-GAAP loss from operations and non-GAAP loss from operations margin as U.S. GAAP loss from operations and U.S. GAAP loss from operations margin, respectively, excluding stock-based compensation expense and related employer payroll taxes, amortization of acquired intangible assets, and non-recurring costs. Non-GAAP loss from operations margin is calculated as non-GAAP loss from operations divided by total revenue.</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use non-GAAP gross margin and non-GAAP loss from operations margin in conjunction with traditional U.S. GAAP measures to evaluate our financial performance. We believe that non-GAAP gross margin and non-GAAP loss from operations margin provide our management and investors consistency and comparability with our past financial performance and facilitates period-to-period comparisons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Free Cash Flow and Free Cash Flow Margin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Limitations and Reconciliations of Non-GAAP Financial Measures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tables reconcile the most directly comparable U.S. GAAP financial measure to each of these non-GAAP financial measures.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Non-GAAP Gross Profit and Gross Margin</w:t>
      </w:r>
      <w:r>
        <w:rPr>
          <w:rFonts w:ascii="Times New Roman" w:hAnsi="Times New Roman"/>
          <w:sz w:val="20"/>
        </w:rPr>
        <w:t xml:space="preserve"> </w:t>
      </w:r>
    </w:p>
    <w:p>
      <w:pPr>
        <w:pStyle w:val="TextBody"/>
        <w:spacing w:before="0" w:after="0"/>
        <w:jc w:val="left"/>
        <w:rPr/>
      </w:pPr>
      <w:r>
        <w:rPr/>
        <w:t> </w:t>
      </w:r>
    </w:p>
    <w:tbl>
      <w:tblPr>
        <w:tblW w:w="6474" w:type="dxa"/>
        <w:jc w:val="left"/>
        <w:tblInd w:w="0" w:type="dxa"/>
        <w:tblCellMar>
          <w:top w:w="28" w:type="dxa"/>
          <w:left w:w="28" w:type="dxa"/>
          <w:bottom w:w="28" w:type="dxa"/>
          <w:right w:w="28" w:type="dxa"/>
        </w:tblCellMar>
      </w:tblPr>
      <w:tblGrid>
        <w:gridCol w:w="3346"/>
        <w:gridCol w:w="146"/>
        <w:gridCol w:w="237"/>
        <w:gridCol w:w="760"/>
        <w:gridCol w:w="305"/>
        <w:gridCol w:w="164"/>
        <w:gridCol w:w="237"/>
        <w:gridCol w:w="760"/>
        <w:gridCol w:w="305"/>
        <w:gridCol w:w="214"/>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9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2"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47,290</w:t>
            </w:r>
          </w:p>
        </w:tc>
        <w:tc>
          <w:tcPr>
            <w:tcW w:w="305"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37,002</w:t>
            </w:r>
          </w:p>
        </w:tc>
        <w:tc>
          <w:tcPr>
            <w:tcW w:w="305"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Add:</w:t>
            </w:r>
          </w:p>
        </w:tc>
        <w:tc>
          <w:tcPr>
            <w:tcW w:w="146" w:type="dxa"/>
            <w:tcBorders/>
            <w:shd w:fill="auto" w:val="clear"/>
            <w:vAlign w:val="center"/>
          </w:tcPr>
          <w:p>
            <w:pPr>
              <w:pStyle w:val="TableContents"/>
              <w:spacing w:before="0" w:after="0"/>
              <w:ind w:left="0" w:right="0" w:hanging="0"/>
              <w:jc w:val="left"/>
              <w:rPr/>
            </w:pPr>
            <w:r>
              <w:rPr/>
              <w:t> </w:t>
            </w:r>
          </w:p>
        </w:tc>
        <w:tc>
          <w:tcPr>
            <w:tcW w:w="997" w:type="dxa"/>
            <w:gridSpan w:val="2"/>
            <w:tcBorders/>
            <w:shd w:fill="auto" w:val="clear"/>
            <w:vAlign w:val="center"/>
          </w:tcPr>
          <w:p>
            <w:pPr>
              <w:pStyle w:val="TableContents"/>
              <w:spacing w:before="0" w:after="0"/>
              <w:ind w:left="0" w:right="0" w:hanging="0"/>
              <w:jc w:val="center"/>
              <w:rPr/>
            </w:pPr>
            <w:r>
              <w:rPr/>
              <w:t> </w:t>
            </w:r>
          </w:p>
        </w:tc>
        <w:tc>
          <w:tcPr>
            <w:tcW w:w="305" w:type="dxa"/>
            <w:tcBorders/>
            <w:shd w:fill="auto" w:val="cle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997" w:type="dxa"/>
            <w:gridSpan w:val="2"/>
            <w:tcBorders/>
            <w:shd w:fill="auto" w:val="clear"/>
            <w:vAlign w:val="center"/>
          </w:tcPr>
          <w:p>
            <w:pPr>
              <w:pStyle w:val="TableContents"/>
              <w:spacing w:before="0" w:after="0"/>
              <w:ind w:left="0" w:right="0" w:hanging="0"/>
              <w:jc w:val="center"/>
              <w:rPr/>
            </w:pPr>
            <w:r>
              <w:rPr/>
              <w:t> </w:t>
            </w:r>
          </w:p>
        </w:tc>
        <w:tc>
          <w:tcPr>
            <w:tcW w:w="305" w:type="dxa"/>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Stock-based compensation expense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1,792</w:t>
            </w:r>
          </w:p>
        </w:tc>
        <w:tc>
          <w:tcPr>
            <w:tcW w:w="305"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305"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intangible assets amortization</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305"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305"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Profit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49,504</w:t>
            </w:r>
          </w:p>
        </w:tc>
        <w:tc>
          <w:tcPr>
            <w:tcW w:w="305"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38,413</w:t>
            </w:r>
          </w:p>
        </w:tc>
        <w:tc>
          <w:tcPr>
            <w:tcW w:w="305"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Margin</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shd w:fill="auto" w:val="clear"/>
            <w:vAlign w:val="center"/>
          </w:tcPr>
          <w:p>
            <w:pPr>
              <w:pStyle w:val="TableContents"/>
              <w:spacing w:before="0" w:after="0"/>
              <w:ind w:left="0" w:right="0" w:hanging="0"/>
              <w:jc w:val="right"/>
              <w:rPr/>
            </w:pPr>
            <w:r>
              <w:rPr/>
              <w:t> </w:t>
            </w:r>
          </w:p>
        </w:tc>
      </w:tr>
    </w:tbl>
    <w:p>
      <w:pPr>
        <w:pStyle w:val="TextBody"/>
        <w:spacing w:before="180" w:after="0"/>
        <w:jc w:val="left"/>
        <w:rPr>
          <w:rFonts w:ascii="Times New Roman" w:hAnsi="Times New Roman"/>
          <w:b w:val="false"/>
          <w:sz w:val="16"/>
        </w:rPr>
      </w:pPr>
      <w:r>
        <w:rPr>
          <w:rFonts w:ascii="Times New Roman" w:hAnsi="Times New Roman"/>
          <w:b w:val="false"/>
          <w:sz w:val="16"/>
        </w:rPr>
        <w:t>(1)</w:t>
      </w:r>
    </w:p>
    <w:p>
      <w:pPr>
        <w:pStyle w:val="TextBody"/>
        <w:spacing w:before="180" w:after="283"/>
        <w:jc w:val="left"/>
        <w:rPr>
          <w:rFonts w:ascii="Times New Roman;serif" w:hAnsi="Times New Roman;serif"/>
          <w:b w:val="false"/>
          <w:sz w:val="16"/>
        </w:rPr>
      </w:pPr>
      <w:r>
        <w:rPr>
          <w:rFonts w:ascii="Times New Roman;serif" w:hAnsi="Times New Roman;serif"/>
          <w:b w:val="false"/>
          <w:sz w:val="16"/>
        </w:rPr>
        <w:t xml:space="preserve">Stock-based compensation expense-related charges include employer payroll tax-related expenses on employee stock transactions.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Non-GAAP Loss From Operations and Loss From Operations Margin</w:t>
      </w:r>
      <w:r>
        <w:rPr>
          <w:rFonts w:ascii="Times New Roman" w:hAnsi="Times New Roman"/>
          <w:sz w:val="20"/>
        </w:rPr>
        <w:t xml:space="preserve"> </w:t>
      </w:r>
    </w:p>
    <w:tbl>
      <w:tblPr>
        <w:tblW w:w="6578" w:type="dxa"/>
        <w:jc w:val="left"/>
        <w:tblInd w:w="0" w:type="dxa"/>
        <w:tblCellMar>
          <w:top w:w="28" w:type="dxa"/>
          <w:left w:w="28" w:type="dxa"/>
          <w:bottom w:w="28" w:type="dxa"/>
          <w:right w:w="28" w:type="dxa"/>
        </w:tblCellMar>
      </w:tblPr>
      <w:tblGrid>
        <w:gridCol w:w="3451"/>
        <w:gridCol w:w="146"/>
        <w:gridCol w:w="217"/>
        <w:gridCol w:w="759"/>
        <w:gridCol w:w="341"/>
        <w:gridCol w:w="150"/>
        <w:gridCol w:w="217"/>
        <w:gridCol w:w="759"/>
        <w:gridCol w:w="341"/>
        <w:gridCol w:w="197"/>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1"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(29,173</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(21,991</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Add:</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341"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Stock-based compensation expense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20,854</w:t>
            </w:r>
          </w:p>
        </w:tc>
        <w:tc>
          <w:tcPr>
            <w:tcW w:w="34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13,776</w:t>
            </w:r>
          </w:p>
        </w:tc>
        <w:tc>
          <w:tcPr>
            <w:tcW w:w="341"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intangible assets amortization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34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341"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(7,897</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(7,726</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 Margin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jc w:val="left"/>
        <w:rPr>
          <w:rFonts w:ascii="Times New Roman;serif" w:hAnsi="Times New Roman;serif"/>
          <w:b w:val="false"/>
          <w:sz w:val="16"/>
        </w:rPr>
      </w:pPr>
      <w:r>
        <w:rPr>
          <w:rFonts w:ascii="Times New Roman;serif" w:hAnsi="Times New Roman;serif"/>
          <w:b w:val="false"/>
          <w:sz w:val="16"/>
        </w:rPr>
        <w:t xml:space="preserve">Stock-based compensation expense-related charges include employer payroll tax-related expenses on employee stock transactions. </w:t>
      </w:r>
    </w:p>
    <w:p>
      <w:pPr>
        <w:pStyle w:val="TextBody"/>
        <w:spacing w:before="360" w:after="0"/>
        <w:jc w:val="left"/>
        <w:rPr>
          <w:rFonts w:ascii="Times New Roman" w:hAnsi="Times New Roman"/>
          <w:sz w:val="20"/>
        </w:rPr>
      </w:pPr>
      <w:r>
        <w:rPr>
          <w:rFonts w:ascii="Times New Roman;serif" w:hAnsi="Times New Roman;serif"/>
          <w:b/>
          <w:i/>
          <w:sz w:val="20"/>
        </w:rPr>
        <w:t>Free Cash Flow and Free Cash Flow Margin</w:t>
      </w:r>
      <w:r>
        <w:rPr>
          <w:rFonts w:ascii="Times New Roman" w:hAnsi="Times New Roman"/>
          <w:sz w:val="20"/>
        </w:rPr>
        <w:t xml:space="preserve"> </w:t>
      </w:r>
    </w:p>
    <w:p>
      <w:pPr>
        <w:pStyle w:val="TextBody"/>
        <w:spacing w:before="0" w:after="0"/>
        <w:jc w:val="left"/>
        <w:rPr/>
      </w:pPr>
      <w:r>
        <w:rPr/>
        <w:t> </w:t>
      </w:r>
    </w:p>
    <w:tbl>
      <w:tblPr>
        <w:tblW w:w="6804" w:type="dxa"/>
        <w:jc w:val="left"/>
        <w:tblInd w:w="0" w:type="dxa"/>
        <w:tblCellMar>
          <w:top w:w="28" w:type="dxa"/>
          <w:left w:w="28" w:type="dxa"/>
          <w:bottom w:w="28" w:type="dxa"/>
          <w:right w:w="28" w:type="dxa"/>
        </w:tblCellMar>
      </w:tblPr>
      <w:tblGrid>
        <w:gridCol w:w="3676"/>
        <w:gridCol w:w="146"/>
        <w:gridCol w:w="234"/>
        <w:gridCol w:w="702"/>
        <w:gridCol w:w="368"/>
        <w:gridCol w:w="162"/>
        <w:gridCol w:w="234"/>
        <w:gridCol w:w="702"/>
        <w:gridCol w:w="368"/>
        <w:gridCol w:w="212"/>
      </w:tblGrid>
      <w:tr>
        <w:trPr/>
        <w:tc>
          <w:tcPr>
            <w:tcW w:w="3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9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2"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1,409</w:t>
            </w:r>
          </w:p>
        </w:tc>
        <w:tc>
          <w:tcPr>
            <w:tcW w:w="368"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w:t>
            </w:r>
          </w:p>
        </w:tc>
        <w:tc>
          <w:tcPr>
            <w:tcW w:w="368"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(8,289</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Less:</w:t>
            </w:r>
          </w:p>
        </w:tc>
        <w:tc>
          <w:tcPr>
            <w:tcW w:w="146" w:type="dxa"/>
            <w:tcBorders/>
            <w:shd w:fill="auto" w:val="clear"/>
            <w:vAlign w:val="center"/>
          </w:tcPr>
          <w:p>
            <w:pPr>
              <w:pStyle w:val="TableContents"/>
              <w:spacing w:before="0" w:after="0"/>
              <w:ind w:left="0" w:right="0" w:hanging="0"/>
              <w:jc w:val="left"/>
              <w:rPr/>
            </w:pPr>
            <w:r>
              <w:rPr/>
              <w:t> </w:t>
            </w:r>
          </w:p>
        </w:tc>
        <w:tc>
          <w:tcPr>
            <w:tcW w:w="936" w:type="dxa"/>
            <w:gridSpan w:val="2"/>
            <w:tcBorders/>
            <w:shd w:fill="auto" w:val="clear"/>
            <w:vAlign w:val="center"/>
          </w:tcPr>
          <w:p>
            <w:pPr>
              <w:pStyle w:val="TableContents"/>
              <w:spacing w:before="0" w:after="0"/>
              <w:ind w:left="0" w:right="0" w:hanging="0"/>
              <w:jc w:val="center"/>
              <w:rPr/>
            </w:pPr>
            <w:r>
              <w:rPr/>
              <w:t> </w:t>
            </w:r>
          </w:p>
        </w:tc>
        <w:tc>
          <w:tcPr>
            <w:tcW w:w="368" w:type="dxa"/>
            <w:tcBorders/>
            <w:shd w:fill="auto" w:val="cle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936" w:type="dxa"/>
            <w:gridSpan w:val="2"/>
            <w:tcBorders/>
            <w:shd w:fill="auto" w:val="clear"/>
            <w:vAlign w:val="center"/>
          </w:tcPr>
          <w:p>
            <w:pPr>
              <w:pStyle w:val="TableContents"/>
              <w:spacing w:before="0" w:after="0"/>
              <w:ind w:left="0" w:right="0" w:hanging="0"/>
              <w:jc w:val="center"/>
              <w:rPr/>
            </w:pPr>
            <w:r>
              <w:rPr/>
              <w:t> </w:t>
            </w:r>
          </w:p>
        </w:tc>
        <w:tc>
          <w:tcPr>
            <w:tcW w:w="368" w:type="dxa"/>
            <w:tcBorders/>
            <w:shd w:fill="auto" w:val="cle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Capitalization of internal-use software costs</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(5,838</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(9,596</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 Margin</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righ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continue to increase in dollar amount.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Gross Profit and Gross Margin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operating expenses consist of research and development, sales and marketing, and general and administrative expenses. Personnel and 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Research and Development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Sales and Marketing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we expect sales and marketing costs to increase as a percentage of revenue as we invest in product sales growth.</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Other income (expense), net consists primarily of interest income on our cash, cash equivalents, and marketable securities holdings and foreign currency transaction gains and losses.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Provision for (Benefit from) 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$422.2 million and tax credit carryforwards of $9.1 million, net of reserves as of December 31, 2022, which begin expiring in 2032 and 2033, respectively. We expect to maintain this full valuation allowance in U.S. jurisdictions for the foreseeable future as it is not more likely than not the deferred tax assets will be realized based on our history of losses.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r>
        <w:rPr>
          <w:rFonts w:ascii="Times New Roman" w:hAnsi="Times New Roman"/>
          <w:sz w:val="20"/>
        </w:rPr>
        <w:t xml:space="preserve"> </w:t>
      </w:r>
    </w:p>
    <w:p>
      <w:pPr>
        <w:pStyle w:val="TextBody"/>
        <w:spacing w:before="0" w:after="0"/>
        <w:jc w:val="left"/>
        <w:rPr/>
      </w:pPr>
      <w:r>
        <w:rPr/>
        <w:t> </w:t>
      </w:r>
    </w:p>
    <w:tbl>
      <w:tblPr>
        <w:tblW w:w="7680" w:type="dxa"/>
        <w:jc w:val="left"/>
        <w:tblInd w:w="0" w:type="dxa"/>
        <w:tblCellMar>
          <w:top w:w="28" w:type="dxa"/>
          <w:left w:w="28" w:type="dxa"/>
          <w:bottom w:w="28" w:type="dxa"/>
          <w:right w:w="28" w:type="dxa"/>
        </w:tblCellMar>
      </w:tblPr>
      <w:tblGrid>
        <w:gridCol w:w="4771"/>
        <w:gridCol w:w="146"/>
        <w:gridCol w:w="211"/>
        <w:gridCol w:w="736"/>
        <w:gridCol w:w="166"/>
        <w:gridCol w:w="146"/>
        <w:gridCol w:w="211"/>
        <w:gridCol w:w="736"/>
        <w:gridCol w:w="166"/>
        <w:gridCol w:w="391"/>
      </w:tblGrid>
      <w:tr>
        <w:trPr/>
        <w:tc>
          <w:tcPr>
            <w:tcW w:w="4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477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63"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53,065</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Cost of revenue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477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Research and development</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16,501</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477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Sales and marketing</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28,130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477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General and administrative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Loss before provision for (benefit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jc w:val="left"/>
        <w:rPr>
          <w:rFonts w:ascii="Times New Roman;serif" w:hAnsi="Times New Roman;serif"/>
          <w:b w:val="false"/>
          <w:sz w:val="16"/>
        </w:rPr>
      </w:pPr>
      <w:r>
        <w:rPr>
          <w:rFonts w:ascii="Times New Roman;serif" w:hAnsi="Times New Roman;serif"/>
          <w:b w:val="false"/>
          <w:sz w:val="16"/>
        </w:rPr>
        <w:t xml:space="preserve">Amounts include stock-based compensation expense as follows: </w:t>
      </w:r>
    </w:p>
    <w:tbl>
      <w:tblPr>
        <w:tblW w:w="6000" w:type="dxa"/>
        <w:jc w:val="left"/>
        <w:tblInd w:w="0" w:type="dxa"/>
        <w:tblCellMar>
          <w:top w:w="28" w:type="dxa"/>
          <w:left w:w="28" w:type="dxa"/>
          <w:bottom w:w="28" w:type="dxa"/>
          <w:right w:w="28" w:type="dxa"/>
        </w:tblCellMar>
      </w:tblPr>
      <w:tblGrid>
        <w:gridCol w:w="3451"/>
        <w:gridCol w:w="146"/>
        <w:gridCol w:w="211"/>
        <w:gridCol w:w="676"/>
        <w:gridCol w:w="146"/>
        <w:gridCol w:w="146"/>
        <w:gridCol w:w="211"/>
        <w:gridCol w:w="676"/>
        <w:gridCol w:w="146"/>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3" w:type="dxa"/>
            <w:gridSpan w:val="8"/>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4,284</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sets forth the components of our condensed consolidated statements of operations and comprehensive loss data, for each of the periods presented, as a percentage of revenue.</w:t>
      </w:r>
      <w:r>
        <w:rPr>
          <w:rFonts w:ascii="Times New Roman" w:hAnsi="Times New Roman"/>
          <w:sz w:val="20"/>
        </w:rPr>
        <w:t xml:space="preserve"> </w:t>
      </w:r>
    </w:p>
    <w:p>
      <w:pPr>
        <w:pStyle w:val="TextBody"/>
        <w:spacing w:before="0" w:after="0"/>
        <w:jc w:val="left"/>
        <w:rPr/>
      </w:pPr>
      <w:r>
        <w:rPr/>
        <w:t> </w:t>
      </w:r>
    </w:p>
    <w:tbl>
      <w:tblPr>
        <w:tblW w:w="6763" w:type="dxa"/>
        <w:jc w:val="left"/>
        <w:tblInd w:w="0" w:type="dxa"/>
        <w:tblCellMar>
          <w:top w:w="28" w:type="dxa"/>
          <w:left w:w="28" w:type="dxa"/>
          <w:bottom w:w="28" w:type="dxa"/>
          <w:right w:w="28" w:type="dxa"/>
        </w:tblCellMar>
      </w:tblPr>
      <w:tblGrid>
        <w:gridCol w:w="4351"/>
        <w:gridCol w:w="146"/>
        <w:gridCol w:w="836"/>
        <w:gridCol w:w="203"/>
        <w:gridCol w:w="836"/>
        <w:gridCol w:w="391"/>
      </w:tblGrid>
      <w:tr>
        <w:trPr/>
        <w:tc>
          <w:tcPr>
            <w:tcW w:w="4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391" w:type="dxa"/>
            <w:tcBorders/>
            <w:shd w:fill="auto" w:val="cle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29%</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71%</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center"/>
              <w:rPr/>
            </w:pPr>
            <w:r>
              <w:rPr/>
              <w:t> </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43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36%</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391" w:type="dxa"/>
            <w:tcBorders/>
            <w:shd w:fill="auto" w:val="clear"/>
            <w:vAlign w:val="center"/>
          </w:tcPr>
          <w:p>
            <w:pPr>
              <w:pStyle w:val="TableContents"/>
              <w:spacing w:before="0" w:after="0"/>
              <w:ind w:left="0" w:right="0" w:firstLine="200"/>
              <w:jc w:val="center"/>
              <w:rPr/>
            </w:pPr>
            <w:r>
              <w:rPr/>
              <w:t> </w:t>
            </w:r>
          </w:p>
        </w:tc>
      </w:tr>
      <w:tr>
        <w:trPr/>
        <w:tc>
          <w:tcPr>
            <w:tcW w:w="43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53%</w:t>
            </w:r>
          </w:p>
        </w:tc>
        <w:tc>
          <w:tcPr>
            <w:tcW w:w="391" w:type="dxa"/>
            <w:tcBorders/>
            <w:shd w:fill="auto" w:val="clear"/>
            <w:vAlign w:val="center"/>
          </w:tcPr>
          <w:p>
            <w:pPr>
              <w:pStyle w:val="TableContents"/>
              <w:spacing w:before="0" w:after="0"/>
              <w:ind w:left="0" w:right="0" w:firstLine="200"/>
              <w:jc w:val="center"/>
              <w:rPr/>
            </w:pPr>
            <w:r>
              <w:rPr/>
              <w:t> </w:t>
            </w:r>
          </w:p>
        </w:tc>
      </w:tr>
      <w:tr>
        <w:trPr/>
        <w:tc>
          <w:tcPr>
            <w:tcW w:w="43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115%</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391" w:type="dxa"/>
            <w:tcBorders/>
            <w:shd w:fill="auto" w:val="cle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 xml:space="preserve">Loss before provision for (benefit from) income </w:t>
              <w:br/>
              <w:t>      taxes</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391" w:type="dxa"/>
            <w:tcBorders/>
            <w:shd w:fill="auto" w:val="cle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(40)%</w:t>
            </w:r>
          </w:p>
        </w:tc>
        <w:tc>
          <w:tcPr>
            <w:tcW w:w="203" w:type="dxa"/>
            <w:tcBorders/>
            <w:shd w:fill="auto" w:val="clear"/>
            <w:vAlign w:val="center"/>
          </w:tcPr>
          <w:p>
            <w:pPr>
              <w:pStyle w:val="TableContents"/>
              <w:spacing w:before="0" w:after="0"/>
              <w:ind w:left="0" w:right="0" w:hanging="0"/>
              <w:jc w:val="center"/>
              <w:rPr/>
            </w:pPr>
            <w:r>
              <w:rPr/>
              <w:t> </w:t>
            </w:r>
          </w:p>
        </w:tc>
        <w:tc>
          <w:tcPr>
            <w:tcW w:w="8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391" w:type="dxa"/>
            <w:tcBorders/>
            <w:shd w:fill="auto" w:val="clear"/>
            <w:vAlign w:val="center"/>
          </w:tcPr>
          <w:p>
            <w:pPr>
              <w:pStyle w:val="TableContents"/>
              <w:spacing w:before="0" w:after="0"/>
              <w:ind w:left="0" w:right="0" w:hanging="0"/>
              <w:jc w:val="center"/>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16"/>
        </w:rPr>
        <w:t>* Less than 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6"/>
        </w:rPr>
        <w:t>Note: Certain figures may not sum due to rounding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Comparison of Three Months Ended March 31, 2023 to Three Months Ended March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tbl>
      <w:tblPr>
        <w:tblW w:w="5574" w:type="dxa"/>
        <w:jc w:val="left"/>
        <w:tblInd w:w="0" w:type="dxa"/>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14"/>
        <w:gridCol w:w="687"/>
        <w:gridCol w:w="146"/>
        <w:gridCol w:w="146"/>
        <w:gridCol w:w="1036"/>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87" w:type="dxa"/>
            <w:gridSpan w:val="13"/>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Revenue increased $13.4 million, or 25%, during the three months ended March 31, 2023 compared to the three months ended March 31, 2022. The increase in revenue was primarily due to growth of our paying customer base of 28% and revenue generated from our existing paying customers as reflected by our NRR (TTM) of 114% as of March 31,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Cost of Revenue and Gross Margin</w:t>
      </w:r>
      <w:r>
        <w:rPr>
          <w:rFonts w:ascii="Times New Roman" w:hAnsi="Times New Roman"/>
          <w:sz w:val="20"/>
        </w:rPr>
        <w:t xml:space="preserve"> </w:t>
      </w:r>
    </w:p>
    <w:tbl>
      <w:tblPr>
        <w:tblW w:w="6379" w:type="dxa"/>
        <w:jc w:val="left"/>
        <w:tblInd w:w="0" w:type="dxa"/>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243"/>
        <w:gridCol w:w="658"/>
        <w:gridCol w:w="146"/>
        <w:gridCol w:w="146"/>
        <w:gridCol w:w="1036"/>
      </w:tblGrid>
      <w:tr>
        <w:trPr/>
        <w:tc>
          <w:tcPr>
            <w:tcW w:w="1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37" w:type="dxa"/>
            <w:gridSpan w:val="13"/>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1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19%</w:t>
            </w:r>
          </w:p>
        </w:tc>
      </w:tr>
      <w:tr>
        <w:trPr/>
        <w:tc>
          <w:tcPr>
            <w:tcW w:w="1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 of revenue increased $3.1 million, or 19%, during the three months ended March 31, 2023 compared to the three months ended March 31, 2022. The increase was primarily due to an increase of $1.2 million in personnel and related expenses directly associated with an increase in headcount, including an increase in allocated overhead costs, $0.9 million in increased stock-based compensation expenses and related payroll taxes due to an increase in headcount and associated new hire grants, and $0.8 million in third-party hosting costs as we increased capacity to support paying customer usage and growth of our paying customer base.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val="false"/>
          <w:i/>
          <w:sz w:val="20"/>
        </w:rPr>
        <w:t>Operating Expenses</w:t>
      </w:r>
      <w:r>
        <w:rPr>
          <w:rFonts w:ascii="Times New Roman" w:hAnsi="Times New Roman"/>
          <w:sz w:val="20"/>
        </w:rPr>
        <w:t xml:space="preserve"> </w:t>
      </w:r>
    </w:p>
    <w:tbl>
      <w:tblPr>
        <w:tblW w:w="7064" w:type="dxa"/>
        <w:jc w:val="left"/>
        <w:tblInd w:w="0" w:type="dxa"/>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4"/>
        <w:gridCol w:w="687"/>
        <w:gridCol w:w="166"/>
        <w:gridCol w:w="146"/>
        <w:gridCol w:w="103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07" w:type="dxa"/>
            <w:gridSpan w:val="13"/>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r>
    </w:tbl>
    <w:p>
      <w:pPr>
        <w:pStyle w:val="TextBody"/>
        <w:spacing w:before="360" w:after="0"/>
        <w:jc w:val="left"/>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$7.2 million, or 44%, during the three months ended March 31, 2023 compared to the three months ended March 31, 2022. The increase was primarily due to a $4.7 million increase in stock-based compensation expenses associated with an increase in headcount and associated new hire grants. The increase in headcount also contributed to a $1.9 million increase in personnel and related expenses, including an increase in allocated overhead costs.</w:t>
      </w:r>
    </w:p>
    <w:p>
      <w:pPr>
        <w:pStyle w:val="TextBody"/>
        <w:spacing w:before="36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and marketing expenses increased $11.0 million, or 39%, during the three months ended March 31, 2023 compared to the three months ended March 31, 2022. The increase was primarily due to an increase of $4.5 million in personnel and related expenses directly associated with an increase in headcount, including an increase in allocated overhead costs, and an increase of $3.4 million in stock-based compensation expenses and related payroll taxes. The increase was also attributable to an increase of $1.5 million in commissions related to an expansion of our customer base, contract value of deals, and sales team.</w:t>
      </w:r>
    </w:p>
    <w:p>
      <w:pPr>
        <w:pStyle w:val="TextBody"/>
        <w:spacing w:before="36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decreased $0.7 million, or 5%, during the three months ended March 31, 2023 compared to the three months ended March 31, 2022. The decrease was primarily attributable to a decrease in stock-based compensation expenses of $1.7 million primarily due to non-recurring charges related to stock options incurred in the three months ended March 31, 2022. The decrease was partially offset by an increase of $1.2 million in personnel and related expenses directly associated with an increase in headcount, including an increase in allocated overhead costs.</w:t>
      </w:r>
    </w:p>
    <w:p>
      <w:pPr>
        <w:pStyle w:val="TextBody"/>
        <w:spacing w:before="36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tbl>
      <w:tblPr>
        <w:tblW w:w="6928" w:type="dxa"/>
        <w:jc w:val="left"/>
        <w:tblInd w:w="0" w:type="dxa"/>
        <w:tblCellMar>
          <w:top w:w="28" w:type="dxa"/>
          <w:left w:w="28" w:type="dxa"/>
          <w:bottom w:w="28" w:type="dxa"/>
          <w:right w:w="28" w:type="dxa"/>
        </w:tblCellMar>
      </w:tblPr>
      <w:tblGrid>
        <w:gridCol w:w="2386"/>
        <w:gridCol w:w="146"/>
        <w:gridCol w:w="247"/>
        <w:gridCol w:w="669"/>
        <w:gridCol w:w="171"/>
        <w:gridCol w:w="171"/>
        <w:gridCol w:w="247"/>
        <w:gridCol w:w="370"/>
        <w:gridCol w:w="146"/>
        <w:gridCol w:w="146"/>
        <w:gridCol w:w="243"/>
        <w:gridCol w:w="658"/>
        <w:gridCol w:w="146"/>
        <w:gridCol w:w="146"/>
        <w:gridCol w:w="1036"/>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6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96" w:type="dxa"/>
            <w:gridSpan w:val="13"/>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 w:hAnsi="Times New Roman"/>
          <w:sz w:val="20"/>
        </w:rPr>
      </w:pPr>
      <w:r>
        <w:rPr>
          <w:rFonts w:ascii="Times New Roman;serif" w:hAnsi="Times New Roman;serif"/>
          <w:b w:val="false"/>
          <w:sz w:val="16"/>
        </w:rPr>
        <w:t>* Not meaningful</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Other income (expense), net increased $3.1 million during the three months ended March 31, 2023 compared to the three months ended March 31, 2022. The increase was primarily related to a $3.0 million increase in interest income resulting from interest earned on the marketable securities held in the three months ended March 31, 2023 that were not held in the three months ended March 31, 2022.</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val="false"/>
          <w:i/>
          <w:sz w:val="20"/>
        </w:rPr>
        <w:t>Provision for (Benefit from) Income Taxes</w:t>
      </w:r>
      <w:r>
        <w:rPr>
          <w:rFonts w:ascii="Times New Roman" w:hAnsi="Times New Roman"/>
          <w:sz w:val="20"/>
        </w:rPr>
        <w:t xml:space="preserve"> </w:t>
      </w:r>
    </w:p>
    <w:tbl>
      <w:tblPr>
        <w:tblW w:w="7997" w:type="dxa"/>
        <w:jc w:val="left"/>
        <w:tblInd w:w="0" w:type="dxa"/>
        <w:tblCellMar>
          <w:top w:w="28" w:type="dxa"/>
          <w:left w:w="28" w:type="dxa"/>
          <w:bottom w:w="28" w:type="dxa"/>
          <w:right w:w="28" w:type="dxa"/>
        </w:tblCellMar>
      </w:tblPr>
      <w:tblGrid>
        <w:gridCol w:w="3436"/>
        <w:gridCol w:w="146"/>
        <w:gridCol w:w="254"/>
        <w:gridCol w:w="507"/>
        <w:gridCol w:w="176"/>
        <w:gridCol w:w="176"/>
        <w:gridCol w:w="254"/>
        <w:gridCol w:w="507"/>
        <w:gridCol w:w="146"/>
        <w:gridCol w:w="146"/>
        <w:gridCol w:w="323"/>
        <w:gridCol w:w="578"/>
        <w:gridCol w:w="166"/>
        <w:gridCol w:w="146"/>
        <w:gridCol w:w="1036"/>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15" w:type="dxa"/>
            <w:gridSpan w:val="13"/>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Provision for (benefit from) income taxes decreased $0.04 million, or 11%, during the three months ended March 31, 2023 compared to the three months ended March 31, 2022, primarily due to decreased foreign taxes resulting from a decrease in foreign deferred tax balance changes during the three months ended March 31, 2023 compared to the three months ended March 31,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$299.5 million as of March 31, 2023. We generated negative cash flows from operating activities for the three months ended March 31, 2023 and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our principal sources of liquidity were cash and cash equivalents of $214.1 million and restricted cash of $0.9 million. We also had $84.1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March 31, 2023, we had $89.3 million of deferred revenue, all of which was recorded as a current liability. This deferred revenue will be recognized as revenue when or as the related performance obligations are met.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shows a summary of our cash flows for the periods presented:</w:t>
      </w:r>
      <w:r>
        <w:rPr>
          <w:rFonts w:ascii="Times New Roman" w:hAnsi="Times New Roman"/>
          <w:sz w:val="20"/>
        </w:rPr>
        <w:t xml:space="preserve"> </w:t>
      </w:r>
    </w:p>
    <w:tbl>
      <w:tblPr>
        <w:tblW w:w="5999" w:type="dxa"/>
        <w:jc w:val="left"/>
        <w:tblInd w:w="0" w:type="dxa"/>
        <w:tblCellMar>
          <w:top w:w="28" w:type="dxa"/>
          <w:left w:w="28" w:type="dxa"/>
          <w:bottom w:w="28" w:type="dxa"/>
          <w:right w:w="28" w:type="dxa"/>
        </w:tblCellMar>
      </w:tblPr>
      <w:tblGrid>
        <w:gridCol w:w="3466"/>
        <w:gridCol w:w="146"/>
        <w:gridCol w:w="211"/>
        <w:gridCol w:w="631"/>
        <w:gridCol w:w="166"/>
        <w:gridCol w:w="146"/>
        <w:gridCol w:w="211"/>
        <w:gridCol w:w="631"/>
        <w:gridCol w:w="39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346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(8,289</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largest source of operating cash is cash collection from sales of subscriptions to our paying customers. Our primary uses of cash from operating activities are for personnel and 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operating activities of $5.1 million for the three months ended March 31, 2023 reflects our net loss of $26.3 million, adjusted by non-cash items such as stock-based compensation expense of $20.0 million, depreciation and amortization of $1.3 million, and non-cash operating lease costs of $1.0 million as well as net cash used in changes in our operating assets and liabilities of $0.8 million. The net cash used in changes in operating assets and liabilities primarily consisted of a $8.1 million increase in accounts receivable due to higher customer billings. These changes were primarily offset by a decrease in prepaid expenses and other current and noncurrent assets of $4.2 million and an increase in accounts payable and accrued expenses of $4.2 million.</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operating activities of $8.3 million for the three months ended March 31, 2022 reflects our net loss of $22.2 million, adjusted by non-cash items such as stock-based compensation expense of $13.5 million, depreciation and amortization of $0.9 million, and non-cash operating lease costs of $0.8 million as well as net cash used by changes in our operating assets and liabilities of $1.4 million. The net cash used by changes in operating assets and liabilities primarily consisted of a $5.8 million increase in deferred revenue, resulting from increased billings for subscriptions, and a $1.6 million increase in accrued expenses and accounts payable, resulting primarily from increases in accrued professional services, marketing, accrued payroll, and benefits due to an increase in the size of our operations. These increases were offset by a $3.3 million increase in prepaid expenses and other current and noncurrent assets related to an increase in prepayments made in advance for future services, an increase in deferred commissions of $2.4 million, and a $2.9 million increase in accounts receivable due to higher customer billings.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investing activities of $0.8 million for the three months ended March 31, 2023 consisted of $0.4 million of capitalized internal-use software development costs and $0.3 million in purchases of property and equipment.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Net cash used in investing activities of $1.3 million for the three months ended March 31, 2022 consisted of $0.6 million of capitalized internal-use software development costs and $0.7 million in purchases of property and equipment.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of $1.4 million for the three months ended March 31, 2023 primarily consisted of $1.7 million in proceeds from the exercise of stock options.</w:t>
      </w:r>
    </w:p>
    <w:p>
      <w:pPr>
        <w:pStyle w:val="TextBody"/>
        <w:spacing w:before="240" w:after="0"/>
        <w:jc w:val="left"/>
        <w:rPr>
          <w:rFonts w:ascii="Times New Roman" w:hAnsi="Times New Roman"/>
          <w:sz w:val="20"/>
        </w:rPr>
      </w:pPr>
      <w:r>
        <w:rPr>
          <w:rFonts w:ascii="Times New Roman;serif" w:hAnsi="Times New Roman;serif"/>
          <w:b w:val="false"/>
          <w:sz w:val="20"/>
        </w:rPr>
        <w:t>Net cash provided by financing activities of $2.6 million for the three months ended March 31, 2022 primarily consisted of $4.0 million in proceeds from the exercise of stock options offset by $1.4 million of net cash used through sales of common stock to cover tax-related amounts that had not yet been remitted to the respective taxing jurisdictions. It is expected that cash received and paid for these amounts will be cash flow neutral over time.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Remaining Performance Obligations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Remaining performance obligations (“RPO”) as of March 31, 2023 and 2022, including the expected timing of recognition is as follows:</w:t>
      </w:r>
      <w:r>
        <w:rPr>
          <w:rFonts w:ascii="Times New Roman" w:hAnsi="Times New Roman"/>
          <w:sz w:val="20"/>
        </w:rPr>
        <w:t xml:space="preserve"> </w:t>
      </w:r>
    </w:p>
    <w:tbl>
      <w:tblPr>
        <w:tblW w:w="7201" w:type="dxa"/>
        <w:jc w:val="left"/>
        <w:tblInd w:w="0" w:type="dxa"/>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1036"/>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than or equal to 12 months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149,583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28%</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Greater than 12 months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remaining performance obligations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240,358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194,434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24%</w:t>
            </w:r>
          </w:p>
        </w:tc>
      </w:tr>
    </w:tbl>
    <w:p>
      <w:pPr>
        <w:pStyle w:val="TextBody"/>
        <w:spacing w:before="240" w:after="0"/>
        <w:jc w:val="left"/>
        <w:rPr>
          <w:rFonts w:ascii="Times New Roman" w:hAnsi="Times New Roman"/>
          <w:sz w:val="20"/>
        </w:rPr>
      </w:pPr>
      <w:r>
        <w:rPr>
          <w:rFonts w:ascii="Times New Roman;serif" w:hAnsi="Times New Roman;serif"/>
          <w:b w:val="false"/>
          <w:sz w:val="20"/>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there were no material changes in our contractual obligations and other commitments outside of those disclosed in the 2022 Form 10-K. For further information on our commitments and contingencies, refer to Note 9 in the consolidated financial statements contained within the 2022 Form 10-K.</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Indemnification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pStyle w:val="TextBody"/>
        <w:spacing w:before="36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three months ended March 31, 2023 as compared to those disclosed in Part II, Item 7. Management’s Discussion and Analysis of Financial Condition and Results of Operations of the 2022 Form 10-K.</w:t>
      </w:r>
    </w:p>
    <w:p>
      <w:pPr>
        <w:pStyle w:val="TextBody"/>
        <w:spacing w:before="36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2" w:name="i_item3"/>
      <w:bookmarkEnd w:id="12"/>
      <w:r>
        <w:rPr>
          <w:rFonts w:ascii="Times New Roman;serif" w:hAnsi="Times New Roman;serif"/>
          <w:b/>
          <w:sz w:val="20"/>
        </w:rPr>
        <w:t>Item 3. Quantitative and Qualitative Disclosures About Market Risk.</w:t>
      </w:r>
    </w:p>
    <w:p>
      <w:pPr>
        <w:pStyle w:val="TextBody"/>
        <w:spacing w:before="12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cash and cash equivalents and marketable securities primarily consist of cash on hand and highly liquid investments in money market funds and U.S. government securities. As of March 31, 2023, we had cash and cash equivalents of $214.1 million and marketable securities, including non-current marketable securities, of $84.1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Foreign Currency Risk</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spacing w:before="36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3" w:name="i_item4"/>
      <w:bookmarkEnd w:id="13"/>
      <w:r>
        <w:rPr>
          <w:rFonts w:ascii="Times New Roman;serif" w:hAnsi="Times New Roman;serif"/>
          <w:b/>
          <w:sz w:val="20"/>
        </w:rPr>
        <w:t>Item 4. Controls 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spacing w:before="360" w:after="0"/>
        <w:jc w:val="left"/>
        <w:rPr>
          <w:rFonts w:ascii="Times New Roman;serif" w:hAnsi="Times New Roman;serif"/>
          <w:b/>
          <w:i/>
          <w:sz w:val="20"/>
        </w:rPr>
      </w:pPr>
      <w:r>
        <w:rPr>
          <w:rFonts w:ascii="Times New Roman;serif" w:hAnsi="Times New Roman;serif"/>
          <w:b/>
          <w:i/>
          <w:sz w:val="20"/>
        </w:rPr>
        <w:t>Inherent Limitations on Effectiveness of Controls</w:t>
      </w:r>
    </w:p>
    <w:p>
      <w:pPr>
        <w:pStyle w:val="TextBody"/>
        <w:spacing w:before="120" w:after="0"/>
        <w:jc w:val="left"/>
        <w:rPr>
          <w:rFonts w:ascii="Times New Roman" w:hAnsi="Times New Roman"/>
          <w:sz w:val="20"/>
        </w:rPr>
      </w:pPr>
      <w:r>
        <w:rPr>
          <w:rFonts w:ascii="Times New Roman;serif" w:hAnsi="Times New Roman;serif"/>
          <w:b w:val="false"/>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conditions, or the degree of compliance with the policies or procedures may deteriorate. Because of the inherent limitations in a cost-effective control system, misstatements due to error or fraud may occur and not be detected.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bookmarkStart w:id="14" w:name="otherinformation"/>
      <w:bookmarkEnd w:id="14"/>
      <w:r>
        <w:rPr>
          <w:rFonts w:ascii="Times New Roman;serif" w:hAnsi="Times New Roman;serif"/>
          <w:b/>
          <w:sz w:val="20"/>
        </w:rPr>
        <w:t>PART II—OTHER INFORMATION</w:t>
      </w:r>
    </w:p>
    <w:p>
      <w:pPr>
        <w:pStyle w:val="TextBody"/>
        <w:spacing w:before="240" w:after="0"/>
        <w:jc w:val="left"/>
        <w:rPr>
          <w:rFonts w:ascii="Times New Roman;serif" w:hAnsi="Times New Roman;serif"/>
          <w:b/>
          <w:sz w:val="20"/>
        </w:rPr>
      </w:pPr>
      <w:bookmarkStart w:id="15" w:name="ii_item1"/>
      <w:bookmarkEnd w:id="15"/>
      <w:r>
        <w:rPr>
          <w:rFonts w:ascii="Times New Roman;serif" w:hAnsi="Times New Roman;serif"/>
          <w:b/>
          <w:sz w:val="20"/>
        </w:rPr>
        <w:t>Item 1.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“Legal Matters” in Note 9 to our condensed consolidated financial statements included in Part I, Item 1 of this Quarterly Report on Form 10-Q.</w:t>
      </w:r>
    </w:p>
    <w:p>
      <w:pPr>
        <w:pStyle w:val="TextBody"/>
        <w:spacing w:before="360" w:after="0"/>
        <w:jc w:val="left"/>
        <w:rPr>
          <w:rFonts w:ascii="Times New Roman;serif" w:hAnsi="Times New Roman;serif"/>
          <w:b/>
          <w:sz w:val="20"/>
        </w:rPr>
      </w:pPr>
      <w:bookmarkStart w:id="16" w:name="ii_item1a"/>
      <w:bookmarkEnd w:id="16"/>
      <w:r>
        <w:rPr>
          <w:rFonts w:ascii="Times New Roman;serif" w:hAnsi="Times New Roman;serif"/>
          <w:b/>
          <w:sz w:val="20"/>
        </w:rPr>
        <w:t>Item 1A. Risk Factors.</w:t>
      </w:r>
    </w:p>
    <w:p>
      <w:pPr>
        <w:pStyle w:val="TextBody"/>
        <w:spacing w:before="0" w:after="0"/>
        <w:jc w:val="center"/>
        <w:rPr>
          <w:rFonts w:ascii="Times New Roman" w:hAnsi="Times New Roman"/>
          <w:sz w:val="20"/>
        </w:rPr>
      </w:pPr>
      <w:r>
        <w:rPr>
          <w:rFonts w:ascii="Times New Roman;serif" w:hAnsi="Times New Roman;serif"/>
          <w:b/>
          <w:caps/>
          <w:sz w:val="20"/>
        </w:rPr>
        <w:t>Risk Factors</w:t>
      </w:r>
      <w:r>
        <w:rPr>
          <w:rFonts w:ascii="Times New Roman" w:hAnsi="Times New Roman"/>
          <w:caps/>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Risks Related to Our Business and Industry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revenue was $238.1 million for the fiscal year ended December 31, 2022 and $66.5 million and $53.1 million for the three months ended March 31, 2023 and 2022, respectively. However, you should not rely on our historical revenue growth as an indication of our future performance.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have a history of losses. As our costs increase, we may not be able to generate sufficient revenue to achieve and sustain profitability.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experienced net losses in each period since inception. We generated net losses of $93.4 million for the fiscal year ended December 31, 2022 and $26.3 million and $22.2 million for the three months ended March 31, 2023 and 2022, respectively. As of March 31, 2023, we had an accumulated deficit of $299.5 million. We expect our costs and expenses to increase in future periods. In particular, we intend to continue to invest significant resources 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development of our Digital Analytics Platform, including investments in our research and development team, the development or acquisition of new products, features, and functionality, and improvements to the scalability, availability, and security of our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technology infrastructure, including expansion of our activities in third-party data centers that we may lease, enhancements to our network operations and infrastructure, and hiring of additional 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sales and marketing;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additional international expansion, in an effort to increase our customer base and sales;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general administration, including legal, accounting, and other expenses.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spacing w:before="360" w:after="0"/>
        <w:jc w:val="left"/>
        <w:rPr>
          <w:rFonts w:ascii="Times New Roman" w:hAnsi="Times New Roman"/>
          <w:sz w:val="20"/>
        </w:rPr>
      </w:pPr>
      <w:r>
        <w:rPr>
          <w:rFonts w:ascii="Times New Roman;serif" w:hAnsi="Times New Roman;serif"/>
          <w:b/>
          <w:i/>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fluctuations in demand for, or pricing of, our Digital Analytics Platform, including as a result of our introduction of new products, features, and functionality;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fluctuations in usage of our Digital Analytics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ability to attract new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ability to retain existing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customer expansion rates;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investments in new products, features, and functionality;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timing of our customers’ purchases;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speed with which customers are able to migrate data onto our platform after purchasing capacity;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awareness of our brand on a global basis;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fluctuations or delays in purchasing decisions in anticipation of new products, features, or functionality developed or acquired by us or our competitors;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changes in customers’ budgets and in the timing of their budget cycles and purchasing decisions;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our ability to control costs, including our 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amount and timing of costs associated with our cloud computing infrastructure, particularly the cloud services provided by Amazon Web Services (“AWS”);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amount and timing of payment for operating expenses, particularly research and development and sales and marketing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amount and timing of non-cash expenses, including stock-based compensation, goodwill impairments, and other non-cash charges;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amount and timing of costs associated with recruiting, training, and integrating new employees and retaining and motivating existing 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ability to identify and complete, and the effects of, mergers, acquisitions, or strategic partnerships, and the ensuing integration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potential adverse impact of climate change, natural disasters, health epidemics, including the COVID-19 pandemic, political and social instability, including acts of war or other armed conflicts, such as Russia's invasion of Ukraine, and terrorist activities, on our business, operations, and the markets and communities in which we and our customers and partners operate and the disruption these events may cause to the global economy;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impact of new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overall tax rate for our business, which may be affected by the mix of income we earn in the United States and in jurisdictions with comparatively lower tax rates, the effects of stock-based compensation, and the effects of changes in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impact of changes in tax laws or judicial or regulatory interpretations of tax laws, which are recorded in the period such laws are enacted or interpretations are issued and may significantly affect the effective tax rate of that period;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fluctuations in currency exchange rates and changes in the proportion of our revenue and expenses denominated in foreign currencies;</w:t>
      </w:r>
    </w:p>
    <w:p>
      <w:pPr>
        <w:pStyle w:val="TextBody"/>
        <w:spacing w:before="120" w:after="0"/>
        <w:jc w:val="left"/>
        <w:rPr>
          <w:rFonts w:ascii="Times New Roman" w:hAnsi="Times New Roman"/>
          <w:sz w:val="20"/>
        </w:rPr>
      </w:pPr>
      <w:r>
        <w:rPr>
          <w:rFonts w:ascii="Times New Roman;serif" w:hAnsi="Times New Roman;serif"/>
          <w:b w:val="false"/>
          <w:sz w:val="20"/>
        </w:rPr>
        <w:t> changes in the competitive dynamics of our market, including consolidation among competitors or customers;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significant security breaches of, technical difficulties with, or interruptions to, the delivery and use of our platform.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of these and other factors, or the cumulative effect of some of these factors, may cause our results of operations to vary significantly. If our results of operations fall below the expectations of investors and securities analysts who follow our stock, the trading price of our Class A common stock could decline substantially, and we could face costly lawsuits, including securities class action litigation.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need to educate prospective customers about the uses and benefits of our Digital Analytics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discretionary nature of purchasing and budget cycles and decisions;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competitive nature of evaluation and purchasing processes;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evolving functionality demands;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announcements or planned introductions of new products, features, or functionality by us or our competitors;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lengthy purchasing approval processes.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spacing w:before="360" w:after="0"/>
        <w:jc w:val="left"/>
        <w:rPr>
          <w:rFonts w:ascii="Times New Roman" w:hAnsi="Times New Roman"/>
          <w:sz w:val="20"/>
        </w:rPr>
      </w:pPr>
      <w:r>
        <w:rPr>
          <w:rFonts w:ascii="Times New Roman;serif" w:hAnsi="Times New Roman;serif"/>
          <w:b/>
          <w:i/>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recent and potential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 Pacific region, or elsewhere, our customers and prospective customers may go out of business or elect to decrease their budgets, which would limit our ability to grow our business and materially adversely affect our financial condition and results of operations. For example, historically high levels of inflation and rising interest rates in the United States have begun to affect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on April 3, 2023, we authorized a restructuring plan to reduce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adversely affected.</w:t>
      </w:r>
    </w:p>
    <w:p>
      <w:pPr>
        <w:pStyle w:val="TextBody"/>
        <w:spacing w:before="120" w:after="0"/>
        <w:jc w:val="left"/>
        <w:rPr>
          <w:rFonts w:ascii="Times New Roman" w:hAnsi="Times New Roman"/>
          <w:sz w:val="20"/>
        </w:rPr>
      </w:pPr>
      <w:r>
        <w:rPr>
          <w:rFonts w:ascii="Times New Roman;serif" w:hAnsi="Times New Roman;serif"/>
          <w:b/>
          <w:i/>
          <w:sz w:val="20"/>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On April 3, 2023, we authorized a restructuring plan to reduce our global workforce by approximately 13%. The restructuring plan is intended to improve operational efficiencies and reduce operating costs, which we believe will allow us to scale for the future,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xml:space="preserve">continue our path to profitability, and deliver on our long-term vision. In connection with this reduction in our workforce, we expect to incur non-recurring charges of approximately $7 million to $9 million, with the majority of such charges incurred in the quarter ending June 30, 2023. </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Our restructuring plan may result in unintended consequences and costs, such as the loss of institutional knowledge and expertise, decreased morale among our remaining employees, and the risk that we may not achieve the anticipated benefits and savings, in full or in part, of the workforce reduction. Moreover, if employees who were not affected by the workforce reduction seek alternative employment, this could result in unplanned additional expense to ensure adequate resourcing or harm our productivity. In addition, while positions have been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our restructuring plan, or if we experience significant adverse consequences from the workforce reduction, our business, financial condition, and results of operations could be materially adversely affected.</w:t>
        <w:br/>
      </w:r>
      <w:r>
        <w:rPr>
          <w:rFonts w:ascii="Times New Roman" w:hAnsi="Times New Roman"/>
          <w:sz w:val="20"/>
        </w:rPr>
        <w:t>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If the market for SaaS applications develops more slowly than we expect or declines, our business would be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The market in which we operate is highly competitive, and if we do not compete effectively, our business, financial condition, and results of operations could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in-house software systems;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large integrated systems vendors;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smaller companies offering alternative SaaS applications;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new or emerging entrants seeking to develop competing technologies.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losses, or the failure of our Digital Analytics Platform to achieve or maintain more widespread market acceptance, any of which could harm our business.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2022 Form 10-K.</w:t>
      </w:r>
    </w:p>
    <w:p>
      <w:pPr>
        <w:pStyle w:val="TextBody"/>
        <w:spacing w:before="360" w:after="0"/>
        <w:jc w:val="left"/>
        <w:rPr>
          <w:rFonts w:ascii="Times New Roman" w:hAnsi="Times New Roman"/>
          <w:sz w:val="20"/>
        </w:rPr>
      </w:pPr>
      <w:r>
        <w:rPr>
          <w:rFonts w:ascii="Times New Roman;serif" w:hAnsi="Times New Roman;serif"/>
          <w:b/>
          <w:i/>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pStyle w:val="TextBody"/>
        <w:spacing w:before="360" w:after="0"/>
        <w:jc w:val="left"/>
        <w:rPr>
          <w:rFonts w:ascii="Times New Roman" w:hAnsi="Times New Roman"/>
          <w:sz w:val="20"/>
        </w:rPr>
      </w:pPr>
      <w:r>
        <w:rPr>
          <w:rFonts w:ascii="Times New Roman;serif" w:hAnsi="Times New Roman;serif"/>
          <w:b/>
          <w:i/>
          <w:sz w:val="20"/>
        </w:rPr>
        <w:t>If we fail to effectively manage our growth and changes to our business over time, our business, financial condition, and results of operations would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experienced rapid growth in our business, personnel, and operations, which has placed, and may continue to place, significant demands on our management and operational and financial resources. Unfavorable conditions in the current macroeconomic environment have constrained growth in the economy generally, and in the software industry in particular, and many of our customers have consequently experienced a downturn in their business outlook. As a result of these factors, on April 3, 2023, we approved a restructuring plan to reduce our global workforce by approximately 13%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The COVID-19 pandemic or similar outbreaks could have an adverse impact on our business and operations, and the markets and communities in which we, our partners, and customers operate, and the impact of the pandemic is difficult to assess or predict.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continued impact and ultimate duration of the COVID-19 pandemic on the global economy and our business are difficult to assess or predict. Actual and potential impacts include: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customers and prospective customers may experience slowdowns in their businesses which, in turn, may result in reduced demand for our Digital Analytics Platform, lengthening of sales cycles, loss of customers, and difficulties in collections.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employees are working from home significantly more frequently than they did historically prior to the COVID-19 pandemic, which may result in decreased employee productivity and morale with increased unwanted employee attrition.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continue to incur fixed costs, particularly for real estate, and are deriving reduced or no benefit from those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may continue to experience disruptions to our growth planning, such as for facilities and international expansion.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have incurred, and may continue to incur, costs associated with returning to work at our offices around the world, including changes to the workplace, such as space planning, food service, and amenities.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may be subject to legal liability for unsafe workplace claims.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critical vendors could go out of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Our in-person marketing events, including customer user conferences, have been cancelled, and we may continue to experience prolonged delays in our ability to reschedule or conduct in-person marketing events and other sales and marketing activities.</w:t>
      </w:r>
    </w:p>
    <w:p>
      <w:pPr>
        <w:pStyle w:val="TextBody"/>
        <w:spacing w:before="120" w:after="0"/>
        <w:jc w:val="left"/>
        <w:rPr>
          <w:rFonts w:ascii="Times New Roman" w:hAnsi="Times New Roman"/>
          <w:sz w:val="20"/>
        </w:rPr>
      </w:pPr>
      <w:r>
        <w:rPr>
          <w:rFonts w:ascii="Times New Roman;serif" w:hAnsi="Times New Roman;serif"/>
          <w:b w:val="false"/>
          <w:sz w:val="20"/>
        </w:rPr>
        <w:t> 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Overall, the COVID-19 pandemic largely resulted in favorable trends for our business, as customers were able to leverage the digital analytics of their products as sales increasingly shifted online. It can be difficult to predict customer demand, especially as customers’ priorities, resources, and economic outlooks change, along with other shifting market conditions or changes in end consumer behavior, such as a normalization or decline in the amount of time that consumers spend interacting with digital products. These shifts have occurred, and may in the future occur, more quickly than we anticipate. If we are unable to respond quickly to rapidly changing market conditions and shifts in customer behavior, our business and results of operations could be harmed, and the trading price of our Class A common stock could be adversely affected.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Although global economic conditions generally improved with the rollout of vaccines, business activity may not recover as quickly as anticipated,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and supply chain challenges. Conditions may vary between countries and regions and will be subject to the effectiveness and duration of government policies, vaccine administration rates, and other factors that may not be foreseeable. Vaccines for COVID-19 continue to be administered in the United States and other countries around the world, but the extent and rate of vaccine adoption, the long-term efficacy of these vaccines, and other factors remain uncertain. Effective May 11, 2023, we will no longer require employees in North America to be fully vaccinated to utilize our office space or attend in-person company events. Even if we follow what we believe to be best practices, re-opening our offices could expose our employees, partners, and customers to health risks, and us to associated liability. Furthermore, governmental restrictions, new regulations, or other changing conditions could cause us to temporarily close certain of our offices. We have offered, and plan to continue to offer, a significant percentage of our employees flexibility to shift to a hybrid work arrangement, which may adversely impact the productivity of certain employees and harm our business, including our future results of operations. This may also present risks for our strategy and may present operational, cybersecurity, and workplace culture challenges that may materially adversely affect our business.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 </w:t>
        <w:br/>
      </w:r>
      <w:r>
        <w:rPr>
          <w:rFonts w:ascii="Times New Roman" w:hAnsi="Times New Roman"/>
          <w:sz w:val="20"/>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Finally, the effects of the COVID-19 pandemic, or the easing of COVID-19-related restrictions, may also heighten other risks, including significant volatility in global markets and the trading price of our Class A common stock. The extent of the impact that COVID-19 could have on worldwide economic activity generally, and our business in particular, depends on future developments that cannot be accurately predicted at this time, such as the duration and spread of the COVID-19 pandemic, future waves of COVID-19 infections (including the spread of variants or mutant strains of the virus) resulting in additional preventive measures to contain or mitigate the spread of the virus, the extent and effectiveness of containment actions, the administration, adoption, and efficacy of vaccination programs, and the impact of these and other factors on our employees, customers, partners, and vendors. If we are not able to respond to and manage the impact of such events effectively, our business will be harmed.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br/>
      </w:r>
      <w:r>
        <w:rPr>
          <w:rFonts w:ascii="Times New Roman" w:hAnsi="Times New Roman"/>
          <w:sz w:val="20"/>
        </w:rPr>
        <w:t> </w:t>
      </w:r>
    </w:p>
    <w:p>
      <w:pPr>
        <w:pStyle w:val="TextBody"/>
        <w:spacing w:before="360" w:after="0"/>
        <w:jc w:val="left"/>
        <w:rPr>
          <w:rFonts w:ascii="Times New Roman" w:hAnsi="Times New Roman"/>
          <w:sz w:val="20"/>
        </w:rPr>
      </w:pPr>
      <w:r>
        <w:rPr>
          <w:rFonts w:ascii="Times New Roman;serif" w:hAnsi="Times New Roman;serif"/>
          <w:b/>
          <w:i/>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platform stores, transmits, and processes our customers’ proprietary data, including personal or identifying information of their customers or employees. Unauthorized disclosure of,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Cyberattacks, denial-of-service attacks, ransomware attacks, business email compromises, computer malware, malicious code,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information technology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and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beyond our reasonable control, we may face claims of misrepresentation or deceptiveness by the U.S. Federal Trade Commission (the “FTC”), state, federal, and foreign regulators, and private litigants.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denial-of-service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and implement equivalent services, if we are able to do so at all. Any of these circumstances could materially adversely affect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Real or perceived errors, failures, or bugs in our platform could materially adversely affect our business and growth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Any failure to offer high-quality product support may adversely affect our relationships with our customers, our reputation, and our business,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i/>
          <w:sz w:val="20"/>
        </w:rPr>
        <w:t>Incorrect or improper implementation or use of our Digital Analytics Platform could result in customer dissatisfaction and materially adversely affect our business,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and demand, then our Digital Analytics Platform may become less marketable, less competitive, or obsolete, and our business, financial condition, results of operations, and growth prospects could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do not have the history with our subscription or pricing models necessary to accurately predict optimal pricing necessary to attract new customers and retain existing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and restrictions on travel and other limitations as a result of the COVID-19 pandemic may undermine our efforts to provide training and build relationships.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adversely affected.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If our marketing strategies are not effective in attracting new customers and retaining existing customers, our business and ability to grow our revenues would be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Sales efforts to larger organizations involve risks that may not be present or that are present to a lesser extent with respect to sales to smaller organizations.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quarter ended March 31, 2023,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are unable to maintain and enhance our brand, our business, financial condition, and results of operations may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perception of our Digital Analytics Platform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competitors, and we could lose customers or fail to attract potential customers, all of which would materially adversely affect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operations are international in scope, and we plan further geographic expansion, creating a variety of operational challenges.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year ended December 31, 2022 and the three months ended March 31, 2023, 38%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current and future international business and operations involve a variety of risks, including: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slower than anticipated public cloud adoption by international businesses;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changes, which may be unexpected, in a specific country’s or region’s political, economic, or legal and regulatory environment, including Brexit, armed conflicts, pandemics, terrorist activities, tariffs, trade wars, or long-term environmental risks;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need to adapt and localize our Digital Analytics Platform for specific countries;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longer payment cycles and greater difficulty enforcing contracts, collecting accounts receivable, or satisfying revenue recognition criteria, especially in emerging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new, evolving, and more stringent regulations relating to privacy and data security and the unauthorized use of, or access to, commercial and personal information, particularly in Europe;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differing and potentially more onerous labor regulations, especially in Europe, where labor laws are generally more advantageous to employees as compared to the United States, including deemed hourly wage and overtime regulations in these locations;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difficulties in managing a business in new markets with diverse cultures, languages, customs, legal systems, alternative dispute systems, and regulatory systems;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increased travel, real estate, infrastructure, and legal compliance costs associated with international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currency exchange rate fluctuations and the resulting effect on our revenue and expenses, and the cost and risk of entering into hedging transactions if we choose to do so in the future;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limitations on our ability to reinvest earnings from operations in one country to fund the capital needs of our operations in other countries;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laws and business practices favoring local competitors or general market preferences for local vendors;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limited or insufficient intellectual property protection or difficulties obtaining, maintaining, protecting, or enforcing our intellectual property rights, including our trademarks and patents;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COVID-19 or other pandemics or epidemics, or other global political, social, or macroeconomic events, including the war in Ukraine, that could decrease economic activity in certain markets, decrease use of our products and services, or decrease our ability to import, export, or sell our products and services to existing or new customers in international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increased financial accounting and reporting burdens and complexities;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requirements or preferences for domestic products;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differing technical standards, existing or future regulatory and certification requirements, and required features and functionality;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burdens of complying with laws and regulations related to privacy and data security, including the E.U. General Data Protection Regulation (“GDPR”) and similar laws and regulations in other jurisdictions;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burdens of complying with laws and regulations related to taxation, and regulations, adverse tax burdens, and foreign exchange controls that could make it difficult to repatriate earnings and cash.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invest substantial time and resources to further expand our international operations and are unable to do so successfully and in a timely manner, our business, financial condition, and results of operations could be materially adversely affected.</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The war between Russia and Ukraine could materially adversely affect our business, results of operations, and financial condition.</w:t>
      </w:r>
    </w:p>
    <w:p>
      <w:pPr>
        <w:pStyle w:val="TextBody"/>
        <w:spacing w:before="120" w:after="0"/>
        <w:jc w:val="left"/>
        <w:rPr>
          <w:rFonts w:ascii="Times New Roman" w:hAnsi="Times New Roman"/>
          <w:sz w:val="20"/>
        </w:rPr>
      </w:pPr>
      <w:r>
        <w:rPr>
          <w:rFonts w:ascii="Times New Roman;serif" w:hAnsi="Times New Roman;serif"/>
          <w:b w:val="false"/>
          <w:sz w:val="20"/>
        </w:rPr>
        <w:t>On February 24,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br/>
      </w:r>
      <w:r>
        <w:rPr>
          <w:rFonts w:ascii="Times New Roman" w:hAnsi="Times New Roman"/>
          <w:sz w:val="20"/>
        </w:rPr>
        <w:t> </w:t>
      </w:r>
    </w:p>
    <w:p>
      <w:pPr>
        <w:pStyle w:val="TextBody"/>
        <w:spacing w:before="240" w:after="0"/>
        <w:jc w:val="left"/>
        <w:rPr>
          <w:rFonts w:ascii="Times New Roman" w:hAnsi="Times New Roman"/>
          <w:sz w:val="20"/>
        </w:rPr>
      </w:pPr>
      <w:r>
        <w:rPr>
          <w:rFonts w:ascii="Times New Roman;serif" w:hAnsi="Times New Roman;serif"/>
          <w:b w:val="false"/>
          <w:sz w:val="20"/>
        </w:rPr>
        <w:t xml:space="preserve">We are actively monitoring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 </w:t>
        <w:br/>
      </w:r>
      <w:r>
        <w:rPr>
          <w:rFonts w:ascii="Times New Roman" w:hAnsi="Times New Roman"/>
          <w:sz w:val="20"/>
        </w:rPr>
        <w:t> </w:t>
      </w:r>
    </w:p>
    <w:p>
      <w:pPr>
        <w:pStyle w:val="TextBody"/>
        <w:spacing w:before="240" w:after="0"/>
        <w:jc w:val="left"/>
        <w:rPr>
          <w:rFonts w:ascii="Times New Roman" w:hAnsi="Times New Roman"/>
          <w:sz w:val="20"/>
        </w:rPr>
      </w:pPr>
      <w:r>
        <w:rPr>
          <w:rFonts w:ascii="Times New Roman;serif" w:hAnsi="Times New Roman;serif"/>
          <w:b w:val="false"/>
          <w:sz w:val="20"/>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br/>
      </w:r>
      <w:r>
        <w:rPr>
          <w:rFonts w:ascii="Times New Roman" w:hAnsi="Times New Roman"/>
          <w:sz w:val="20"/>
        </w:rPr>
        <w:t> </w:t>
      </w:r>
    </w:p>
    <w:p>
      <w:pPr>
        <w:pStyle w:val="TextBody"/>
        <w:spacing w:before="360" w:after="0"/>
        <w:jc w:val="left"/>
        <w:rPr>
          <w:rFonts w:ascii="Times New Roman" w:hAnsi="Times New Roman"/>
          <w:sz w:val="20"/>
        </w:rPr>
      </w:pPr>
      <w:r>
        <w:rPr>
          <w:rFonts w:ascii="Times New Roman;serif" w:hAnsi="Times New Roman;serif"/>
          <w:b/>
          <w:i/>
          <w:sz w:val="20"/>
        </w:rPr>
        <w:t>We derive, and expect to continue for some time to derive, substantially all of our revenue from our Amplitude Analytics product.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Although we recently released our Amplitude CDP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year ended December 31, 2022 and the three months ended March 31, 2023 and 2022, our research and development expenses were 34%, 36%, and 31%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agree to indemnify customers and other third parties, which exposes us to substantial potential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require additional capital to support the growth of our business, and this capital might not be available on acceptable terms, if at all.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know when or if our operations will generate sufficient cash to fully fund our ongoing operations or the growth of our business. 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our failure to obtain patents and other intellectual property rights for important innovations or maintain appropriate confidentiality and other protective measures to establish and maintain our trade secrets;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uncertainty in, and evolution of, legal standards relating to the validity, enforceability, and scope of protection of intellectual property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potential invalidation of our intellectual property rights through administrative processes or litigation;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any inability by us to detect infringement or other misappropriation of our intellectual property rights by third parties;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other practical, resource, or business limitations on our ability to enforce our rights.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intellectual property litigation to which we become a party may require us to do one or more of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cease selling, licensing, or using products or features that incorporate the intellectual property rights that we allegedly infringe, misappropriate, or violate;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make substantial payments for legal fees, settlement payments, subscription fee refunds, or other costs or damages, including indemnification of third parties;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a license or enter into a royalty agreement, either of which may not be available on reasonable terms or at all, in order to obtain the right to sell or use the relevant intellectual property;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redesign the allegedly infringing products to avoid infringement, misappropriation, or violation, which could be costly, time-consuming, or impossible. </w:t>
      </w:r>
    </w:p>
    <w:p>
      <w:pPr>
        <w:pStyle w:val="TextBody"/>
        <w:spacing w:before="240" w:after="0"/>
        <w:jc w:val="left"/>
        <w:rPr>
          <w:rFonts w:ascii="Times New Roman" w:hAnsi="Times New Roman"/>
          <w:sz w:val="20"/>
        </w:rPr>
      </w:pPr>
      <w:r>
        <w:rPr>
          <w:rFonts w:ascii="Times New Roman;serif" w:hAnsi="Times New Roman;serif"/>
          <w:b w:val="false"/>
          <w:sz w:val="20"/>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Our use of “open-source” software could negatively affect our ability to sell our platform and subject us to possible litigation.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Risks Related to Regulatory Compliance and Legal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are subject to government regulation, including import, export, economic and trade sanctions, and anti-corruption laws and regulations, that may expose us to liability and increase our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Digital Analytics Platform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Our business may be affected by sanctions, export controls, and similar measures targeting Russia and other countries and territories, as well as other responses to Russia’s invasion of Ukraine.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blocking sanctions on some of the largest state-owned and private Russian financial institutions (and their subsequent removal from the Society for Worldwide Interbank Financial Telecommunication (“SWIFT”) payment system);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blocking sanctions against Russian and Belarusian individuals, including the Russian President, other politicians, and those with government connections or involvement in Russian military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blocking sanctions against certain Russian businessmen and their businesses, some of which have significant financial and trade ties to the European Union;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expansion of sectoral sanctions in various sectors of the Russian and Belarusian economies and the defense sector;</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United Kingdom sanctions introducing restrictions on providing loans to, and dealing in securities issued by, persons connected with Russia;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access to the financial and capital markets in the European Union, as well as prohibitions on aircraft leasing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sanctions prohibiting most commercial activities of U.S., U.K., and E.U. persons in the so-called People’s Republic of Donetsk and the so-called People’s Republic of Luhansk (and, with respect to the E.U., the areas of Kherson and Zaporizhzhia not controlled by the Ukrainian government), with all of these new restrictions largely tracking prior prohibitions relating to Crimea and Sevastopol;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closure of airspace to Russian aircraft;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ban on imports of Russian oil, liquefied natural gas, and coal to the United States and on “new investment” in Russia's energy sector (often with similar bans being enacted in the United Kingdom and the E.U.);</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ban on imports of Russian fish, seafood, and preparations thereof, alcoholic beverages, non-industrial diamonds, and gold to the United States;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ban on “new investment” in the Russian Federation by a U.S. person, which may be interpreted broadly (with a similar prohibition also enacted by the United Kingdom);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bans on the provision of certain professional services, including accounting, trust and corporate formation, auditing, and management consulting services, among others;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bans on the provision of services related to the worldwide maritime transportation of seaborne Russian oil, if purchased above a specific price cap.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spacing w:before="240" w:after="0"/>
        <w:jc w:val="left"/>
        <w:rPr>
          <w:rFonts w:ascii="Times New Roman" w:hAnsi="Times New Roman"/>
          <w:sz w:val="20"/>
        </w:rPr>
      </w:pPr>
      <w:r>
        <w:rPr>
          <w:rFonts w:ascii="Times New Roman;serif" w:hAnsi="Times New Roman;serif"/>
          <w:b w:val="false"/>
          <w:sz w:val="20"/>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we do not currently have contracts directly with the entities or businesses on the sanctions list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on July 16, 2020, the Court of Justice of the European Union (the “CJEU”) invalidated the EU-US Privacy Shield Framework, or Privacy Shield, under which personal information could be transferred from the EEA (and the United Kingdom) to relevant self-certified U.S. entities.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The CJEU further noted that reliance on the standard contractual clauses (“SCCs”),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 As the enforcement landscape further develops, and supervisory authorities issue further guidance on—and revised standard contractual clauses for—international data transfers, we could suffer additional costs, complaints, and/or regulatory investigations or fines, we may have to stop using certain tools and vendors and make other operational changes, and/or manner in which we provide our services could otherwise be affected, which could adversely affect our business, financial condition, and results of operations.</w:t>
      </w:r>
    </w:p>
    <w:p>
      <w:pPr>
        <w:pStyle w:val="TextBody"/>
        <w:spacing w:before="240" w:after="0"/>
        <w:jc w:val="left"/>
        <w:rPr>
          <w:rFonts w:ascii="Times New Roman" w:hAnsi="Times New Roman"/>
          <w:sz w:val="20"/>
        </w:rPr>
      </w:pPr>
      <w:r>
        <w:rPr>
          <w:rFonts w:ascii="Times New Roman;serif" w:hAnsi="Times New Roman;serif"/>
          <w:b w:val="false"/>
          <w:sz w:val="20"/>
        </w:rPr>
        <w:t>Since the beginning of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Virginia, Colorado, Connecticut, Utah, and Iowa and have been proposed in other states and at the federal level, reflecting a trend toward more stringent privacy legislation in the United States. The enactment of such laws may have potentially conflicting requirements that would make compliance challenging.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spacing w:before="360" w:after="0"/>
        <w:jc w:val="left"/>
        <w:rPr>
          <w:rFonts w:ascii="Times New Roman" w:hAnsi="Times New Roman"/>
          <w:sz w:val="20"/>
        </w:rPr>
      </w:pPr>
      <w:r>
        <w:rPr>
          <w:rFonts w:ascii="Times New Roman;serif" w:hAnsi="Times New Roman;serif"/>
          <w:b/>
          <w:i/>
          <w:sz w:val="20"/>
        </w:rPr>
        <w:t>Any future litigation against us could be costly and time-consuming to defend.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Risks Related to Tax and Accounting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face exposure to foreign currency exchange rate fluctuations.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spacing w:before="240" w:after="0"/>
        <w:jc w:val="left"/>
        <w:rPr>
          <w:rFonts w:ascii="Times New Roman" w:hAnsi="Times New Roman"/>
          <w:sz w:val="20"/>
        </w:rPr>
      </w:pPr>
      <w:r>
        <w:rPr>
          <w:rFonts w:ascii="Times New Roman;serif" w:hAnsi="Times New Roman;serif"/>
          <w:b w:val="false"/>
          <w:sz w:val="20"/>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global operations and structure subject us to potentially adverse tax consequences.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Organisation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ability to use our net operating loss carryforwards may be limited.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 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Changes in our effective tax rate or tax liability may have a material adverse effect on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effective tax rate could increase due to several factors, including: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changes in the relative amounts of income before taxes in the various jurisdictions in which we operate that have differing statutory tax rates;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changes in tax laws, tax treaties, and regulations or the interpretation of them, such as the Tax Cuts and Jobs Act, the Coronavirus Aid, Relief, and Economic Security Act, and the Inflation Reduction Act;</w:t>
      </w:r>
    </w:p>
    <w:p>
      <w:pPr>
        <w:pStyle w:val="TextBody"/>
        <w:spacing w:before="120" w:after="0"/>
        <w:jc w:val="left"/>
        <w:rPr>
          <w:rFonts w:ascii="Times New Roman" w:hAnsi="Times New Roman"/>
          <w:sz w:val="20"/>
        </w:rPr>
      </w:pPr>
      <w:r>
        <w:rPr>
          <w:rFonts w:ascii="Times New Roman;serif" w:hAnsi="Times New Roman;serif"/>
          <w:b w:val="false"/>
          <w:sz w:val="20"/>
        </w:rPr>
        <w:t> changes to our assessment about our ability to realize our deferred tax assets that are based on estimates of our future results, the prudence and feasibility of possible tax planning strategies, and the economic and political environments in which we do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outcome of current and future tax audits, examinations, or administrative appeals;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effects of acquisitions.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of these developments could materially adversely affect our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An increasing number of states have considered or adopted laws that attempt to impose tax collection obligations on out-of-state companies. Additionally, the Supreme Court of the United States ruled in </w:t>
      </w:r>
      <w:r>
        <w:rPr>
          <w:rFonts w:ascii="Times New Roman;serif" w:hAnsi="Times New Roman;serif"/>
          <w:b w:val="false"/>
          <w:i/>
          <w:sz w:val="20"/>
        </w:rPr>
        <w:t xml:space="preserve">South Dakota v. Wayfair, Inc. et al </w:t>
      </w:r>
      <w:r>
        <w:rPr>
          <w:rFonts w:ascii="Times New Roman;serif" w:hAnsi="Times New Roman;serif"/>
          <w:b w:val="false"/>
          <w:sz w:val="20"/>
        </w:rPr>
        <w:t>(“</w:t>
      </w:r>
      <w:r>
        <w:rPr>
          <w:rFonts w:ascii="Times New Roman;serif" w:hAnsi="Times New Roman;serif"/>
          <w:b w:val="false"/>
          <w:i/>
          <w:sz w:val="20"/>
        </w:rPr>
        <w:t>Wayfair</w:t>
      </w:r>
      <w:r>
        <w:rPr>
          <w:rFonts w:ascii="Times New Roman" w:hAnsi="Times New Roman"/>
          <w:sz w:val="20"/>
        </w:rPr>
        <w:t>”</w:t>
      </w:r>
      <w:r>
        <w:rPr>
          <w:rFonts w:ascii="Times New Roman;serif" w:hAnsi="Times New Roman;serif"/>
          <w:b w:val="false"/>
          <w:sz w:val="20"/>
        </w:rPr>
        <w:t xml:space="preserve">), that online sellers can be required to collect sales and use tax despite not having a physical presence in the buyer’s state. In response to </w:t>
      </w:r>
      <w:r>
        <w:rPr>
          <w:rFonts w:ascii="Times New Roman;serif" w:hAnsi="Times New Roman;serif"/>
          <w:b w:val="false"/>
          <w:i/>
          <w:sz w:val="20"/>
        </w:rPr>
        <w:t>Wayfair</w:t>
      </w:r>
      <w:r>
        <w:rPr>
          <w:rFonts w:ascii="Times New Roman;serif" w:hAnsi="Times New Roman;serif"/>
          <w:b w:val="false"/>
          <w:sz w:val="20"/>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spacing w:before="360" w:after="0"/>
        <w:jc w:val="left"/>
        <w:rPr>
          <w:rFonts w:ascii="Times New Roman" w:hAnsi="Times New Roman"/>
          <w:sz w:val="20"/>
        </w:rPr>
      </w:pPr>
      <w:r>
        <w:rPr>
          <w:rFonts w:ascii="Times New Roman;serif" w:hAnsi="Times New Roman;serif"/>
          <w:b/>
          <w:i/>
          <w:sz w:val="20"/>
        </w:rPr>
        <w:t>Our reported financial results may be adversely affected by changes in accounting principles generally accepted in the United States.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If our estimates or judgments relating to our critical accounting policies prove to be incorrect, our results of operations could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our goodwill or intangible assets become impaired, we may be required to record a significant charge to earnings.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Risks Related to Ownership of Our Class A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The trading price of our Class A common stock has been, and in the future, may be, volatile, and could decline significantly and rapidly.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trading price of our Class A common stock has fluctuated and may in the future fluctuate substantially in response to numerous factors in addition to the ones described in the preceding risk factors, many of which are beyond our control,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fluctuations in our financial condition, results of operations, or operating metrics and those of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our projected operating and financial results or our failure to meet these projections;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pricing of our Digital Analytics Platform;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anticipated future size or growth rate of our addressable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laws or regulations applicable to our Digital Analytics Platform;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business developments, acquisitions, or new offerings;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data breaches, disruptions to, or other incidents involving, our platform;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involvement in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our board of directors, senior management, or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shares of our Class A common stock made available for trading;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sales of our Class A common stock by us or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volume of our Class A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anticipated future size and growth rate of our market;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general economic, market, and industry conditions, including economic slowdowns, recessions, inflationary pressures, rising interest rates, financial market fluctuations, and reduced credit availability;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events or factors, including those resulting from war (including the recent and developing war in Ukraine), incidents of terrorism, pandemics (including the COVID-19 pandemic), elections, or responses to these events;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whether investors or securities analysts view our stock structure unfavorably, particularly our dual class structure and the concentrated voting control of our executive officers, directors, and their affiliates.</w:t>
      </w:r>
    </w:p>
    <w:p>
      <w:pPr>
        <w:pStyle w:val="TextBody"/>
        <w:spacing w:before="240" w:after="0"/>
        <w:jc w:val="left"/>
        <w:rPr>
          <w:rFonts w:ascii="Times New Roman" w:hAnsi="Times New Roman"/>
          <w:sz w:val="20"/>
        </w:rPr>
      </w:pPr>
      <w:r>
        <w:rPr>
          <w:rFonts w:ascii="Times New Roman;serif" w:hAnsi="Times New Roman;serif"/>
          <w:b w:val="false"/>
          <w:sz w:val="20"/>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We may be the target of this type of litigation in the future, which could result in substantial expenses and divert our management’s attention.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principal stockholders have the ability to influence the outcome of director elections and other matters requiring stockholder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while we do not expect to issue any additional shares of Class B common stock, any future issuances of Class B common stock would be dilutive to holders of Class A common stock.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cannot predict the impact our dual class structure may have on the trading price of our Class A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cannot predict whether our dual class structure, combined with the concentrated control of our stockholders who held our capital stock prior to the listing of our Class A common stock on the Nasdaq Capital Market, including our executive officers, employees, directors, and their affiliates, will result in a lower or more volatile trading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multiple class capital structures to be included in their indices. Under the announced policies, our dual class capital structure would make us ineligible for inclusion in any</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 of our securityholders are subject to any contractual lock-up or other contractual restriction on the transfer or sale of their shares.</w:t>
      </w:r>
    </w:p>
    <w:p>
      <w:pPr>
        <w:pStyle w:val="TextBody"/>
        <w:spacing w:before="240" w:after="0"/>
        <w:jc w:val="left"/>
        <w:rPr>
          <w:rFonts w:ascii="Times New Roman" w:hAnsi="Times New Roman"/>
          <w:sz w:val="20"/>
        </w:rPr>
      </w:pPr>
      <w:r>
        <w:rPr>
          <w:rFonts w:ascii="Times New Roman;serif" w:hAnsi="Times New Roman;serif"/>
          <w:b w:val="false"/>
          <w:sz w:val="20"/>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we have filed registration statements to register all shares subject to options and RSUs outstanding or reserved for future issuance under our equity compensation plans. As of March 31, 2023, we had options outstanding that, if fully exercised, would result in the issuance of 16,169,545 shares of Class A common stock, as well as 10,635,635 shares of Class A common stock subject to RSU awards.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Accordingly, these shares will be able to be freely sold in the public market upon issuance, subject to applicable vesting requirements and compliance by affiliates with Rule 144.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issuance of additional capital stock in connection with financings, acquisitions, investments, our equity incentive plans, or otherwise will dilute all other stockholders.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are no longer an “emerging growth company,” and, as a result, we now must comply with increased reporting and disclosure requirements, which may increase our costs.</w:t>
        <w:br/>
      </w:r>
      <w:r>
        <w:rPr>
          <w:rFonts w:ascii="Times New Roman" w:hAnsi="Times New Roman"/>
          <w:sz w:val="20"/>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no longer qualify as an “emerging growth company” within the meaning of the Securities Act, as modified by the Jumpstart Our Business Startups Act of 2012 (the “JOBS Act”) and, as a result, are subject to various disclosure and compliance requirements that did not previously apply, such as: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the requirement that our independent registered public accounting firm attest to the effectiveness of our internal control over financial reporting under Section 404(b) of the Sarbanes-Oxley Act of 2002 (the “Sarbanes-Oxley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the requirement that we adopt new or revised accounting standards when they are applicable to public companies, instead of delaying their adoption until they are applicable to private companies;</w:t>
      </w:r>
    </w:p>
    <w:p>
      <w:pPr>
        <w:pStyle w:val="TextBody"/>
        <w:spacing w:before="120" w:after="0"/>
        <w:jc w:val="left"/>
        <w:rPr>
          <w:rFonts w:ascii="Times New Roman" w:hAnsi="Times New Roman"/>
          <w:sz w:val="20"/>
        </w:rPr>
      </w:pPr>
      <w:r>
        <w:rPr>
          <w:rFonts w:ascii="Times New Roman;serif" w:hAnsi="Times New Roman;serif"/>
          <w:b w:val="false"/>
          <w:sz w:val="20"/>
        </w:rPr>
        <w:t> compliance with any requirement that may be adopted by the Public Company Accounting Oversight Board regarding obligatory audit firm rotation or a supplement to the auditor's report providing additional information about the audit and the 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requirement that we provide full and more detailed disclosures regarding executive compensation;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requirement that we hold a non-binding advisory vote on executive compensation and obtain stockholder approval of any golden parachute payments not previously approved.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br/>
        <w:t>We expect that the loss of emerging growth company status and compliance with these additional requirements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trading price of our Class A common stock could decline and we could be subject to sanctions or investigations by Nasdaq, the SEC or other regulatory authorities, which would require additional financial and management resources.</w:t>
        <w:br/>
      </w:r>
      <w:r>
        <w:rPr>
          <w:rFonts w:ascii="Times New Roman" w:hAnsi="Times New Roman"/>
          <w:sz w:val="20"/>
        </w:rPr>
        <w:t> </w:t>
      </w:r>
    </w:p>
    <w:p>
      <w:pPr>
        <w:pStyle w:val="TextBody"/>
        <w:spacing w:before="360" w:after="0"/>
        <w:jc w:val="left"/>
        <w:rPr>
          <w:rFonts w:ascii="Times New Roman" w:hAnsi="Times New Roman"/>
          <w:sz w:val="20"/>
        </w:rPr>
      </w:pPr>
      <w:r>
        <w:rPr>
          <w:rFonts w:ascii="Times New Roman;serif" w:hAnsi="Times New Roman;serif"/>
          <w:b/>
          <w:i/>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spacing w:before="120" w:after="0"/>
        <w:jc w:val="left"/>
        <w:rPr>
          <w:rFonts w:ascii="Times New Roman" w:hAnsi="Times New Roman"/>
          <w:sz w:val="20"/>
        </w:rPr>
      </w:pPr>
      <w:r>
        <w:rPr>
          <w:rFonts w:ascii="Times New Roman;serif" w:hAnsi="Times New Roman;serif"/>
          <w:b w:val="false"/>
          <w:sz w:val="20"/>
        </w:rPr>
        <w:t> authorize our board of directors to issue, without further action by the stockholders, shares of undesignated preferred stock with terms, rights, and preferences determined by our board of directors that may be senior to our Class A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require that any action to be taken by our stockholders be effected at a duly called annual or special meeting and not by written consent;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specify that special meetings of our stockholders can be called only by our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establish an advance notice procedure for stockholder proposals to be brought before an annual meeting, including proposed nominations of persons for election to our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establish that our board of directors is divided into three classes, with each class serving three-year staggered terms;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prohibit cumulative voting in the election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provide that our directors may only be removed for cause;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provide that vacancies on our board of directors may be filled only by a majority of directors then in office, even though less than a quorum;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require the approval of our board of directors or the holders of at least 66 2/3% of our outstanding shares of voting stock to amend our bylaws and certain provisions of our certificate of incorporation.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might be willing to pay in the future for shares of our Class A common stock, and they could deter potential acquirers of our company, thereby reducing the likelihood that you would receive a premium for your shares of our Class A common stock in an acquisition.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Claims for indemnification by our directors</w:t>
      </w:r>
      <w:r>
        <w:rPr>
          <w:rFonts w:ascii="Times New Roman" w:hAnsi="Times New Roman"/>
          <w:sz w:val="20"/>
        </w:rPr>
        <w:t xml:space="preserve"> </w:t>
      </w:r>
      <w:r>
        <w:rPr>
          <w:rFonts w:ascii="Times New Roman;serif" w:hAnsi="Times New Roman;serif"/>
          <w:b/>
          <w:i/>
          <w:sz w:val="20"/>
        </w:rPr>
        <w:t>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restated certificate of incorporation and amended and restated bylaws provide that we will indemnify our directors and officers, in each case to the fullest extent permitted by Delaware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as permitted by Section 145 of the Delaware General Corporation Law, our amended and restated bylaws and indemnification agreements that we have entered into with our directors and officers provide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may, in our discretion, indemnify employees and agents in those circumstances where indemnification is permitted by applicable law;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the rights conferred in our amended and restated bylaws are not exclusive, and we are authorized to enter into indemnification agreements with our directors, officers, employees, and agents and to obtain insurance to indemnify such persons;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we may not retroactively amend our amended and restated bylaws to reduce our indemnification obligations to directors, officers, employees, and agents.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General Risk Factors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Our inability to attract and retain highly skilled employees could materially adversely affect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For example, on April 3, 2023, we approved a restructuring plan to reduce our global workforce by approximately 13%.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depend on our executive officers and other key employees, and the loss of one or more of these employees could materially adversely affect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For example, on February 15, 2023, we announced that Hoang Vuong, our Chief Financial Officer, would no longer serve as Chief Financial Officer, effective February 22, 2023. Our board of directors appointed Christopher Harms as our Chief Financial Officer, effective February 22, 2023. Our inability to successfully manage this transition, or future executive transitions,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Changes in the business, regulatory, or political climate in the San Francisco Bay Area could adversely affect our operations.</w:t>
      </w:r>
    </w:p>
    <w:p>
      <w:pPr>
        <w:pStyle w:val="TextBody"/>
        <w:spacing w:before="120" w:after="0"/>
        <w:jc w:val="left"/>
        <w:rPr>
          <w:rFonts w:ascii="Times New Roman" w:hAnsi="Times New Roman"/>
          <w:sz w:val="20"/>
        </w:rPr>
      </w:pPr>
      <w:r>
        <w:rPr>
          <w:rFonts w:ascii="Times New Roman;serif" w:hAnsi="Times New Roman;serif"/>
          <w:b w:val="false"/>
          <w:sz w:val="20"/>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Changes in laws and regulations related to the internet or changes in the internet infrastructure itself may diminish the demand for our Digital Analytics Platform, and could harm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spacing w:before="360" w:after="0"/>
        <w:jc w:val="left"/>
        <w:rPr>
          <w:rFonts w:ascii="Times New Roman" w:hAnsi="Times New Roman"/>
          <w:sz w:val="20"/>
        </w:rPr>
      </w:pPr>
      <w:r>
        <w:rPr>
          <w:rFonts w:ascii="Times New Roman;serif" w:hAnsi="Times New Roman;serif"/>
          <w:b/>
          <w:i/>
          <w:sz w:val="20"/>
        </w:rPr>
        <w:t>Our business could be disrupted by catastrophic occurrences and similar events.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(including the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7" w:name="ii_item2"/>
      <w:bookmarkEnd w:id="17"/>
      <w:r>
        <w:rPr>
          <w:rFonts w:ascii="Times New Roman;serif" w:hAnsi="Times New Roman;serif"/>
          <w:b/>
          <w:sz w:val="20"/>
        </w:rPr>
        <w:t>Item 2. Unregistered Sales of Equity Securities and Use of Proceeds.</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8" w:name="ii_item3"/>
      <w:bookmarkEnd w:id="18"/>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9" w:name="ii_item4"/>
      <w:bookmarkEnd w:id="19"/>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20" w:name="ii_item5"/>
      <w:bookmarkEnd w:id="20"/>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21" w:name="exhibits"/>
      <w:bookmarkEnd w:id="21"/>
      <w:r>
        <w:rPr>
          <w:rFonts w:ascii="Times New Roman;serif" w:hAnsi="Times New Roman;serif"/>
          <w:b/>
          <w:sz w:val="20"/>
        </w:rPr>
        <w:t>Item 6. Exhibits.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882"/>
        <w:gridCol w:w="6050"/>
        <w:gridCol w:w="511"/>
        <w:gridCol w:w="852"/>
        <w:gridCol w:w="631"/>
        <w:gridCol w:w="660"/>
        <w:gridCol w:w="953"/>
      </w:tblGrid>
      <w:tr>
        <w:trPr/>
        <w:tc>
          <w:tcPr>
            <w:tcW w:w="882" w:type="dxa"/>
            <w:tcBorders/>
            <w:shd w:fill="auto" w:val="clear"/>
            <w:vAlign w:val="center"/>
          </w:tcPr>
          <w:p>
            <w:pPr>
              <w:pStyle w:val="TableContents"/>
              <w:spacing w:before="0" w:after="283"/>
              <w:rPr>
                <w:sz w:val="4"/>
                <w:szCs w:val="4"/>
              </w:rPr>
            </w:pPr>
            <w:r>
              <w:rPr>
                <w:sz w:val="4"/>
                <w:szCs w:val="4"/>
              </w:rPr>
            </w:r>
          </w:p>
        </w:tc>
        <w:tc>
          <w:tcPr>
            <w:tcW w:w="605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Exhibit Number</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Filed Herewith</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the Registrant.</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001-40817</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9/21/2021</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001-40817</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9/21/2021</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Specimen Stock Certificate evidencing the shares of Class A Common Stock.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333-259168</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8/30/2021</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Specimen Stock Certificate evidencing the shares of Class B Common Stock.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S-8</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333-259698</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9/21/2021</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4.3</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Amended and Restated Investors’ Rights Agreement, dated as of May 28, 2021, as amended, by and among the Registrant and certain of its stockholders.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333-259168</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8/30/2021</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mpl-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mpl-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mpl-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mpl-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0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5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4777" w:type="dxa"/>
        <w:jc w:val="left"/>
        <w:tblInd w:w="0" w:type="dxa"/>
        <w:tblCellMar>
          <w:top w:w="28" w:type="dxa"/>
          <w:left w:w="28" w:type="dxa"/>
          <w:bottom w:w="28" w:type="dxa"/>
          <w:right w:w="28" w:type="dxa"/>
        </w:tblCellMar>
      </w:tblPr>
      <w:tblGrid>
        <w:gridCol w:w="1741"/>
        <w:gridCol w:w="109"/>
        <w:gridCol w:w="406"/>
        <w:gridCol w:w="252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92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Amplitude, Inc.</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2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Spenser Skates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Spenser Skates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2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Christopher Harms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Christopher Harms</w:t>
            </w:r>
            <w:r>
              <w:rPr>
                <w:rFonts w:ascii="Times New Roman" w:hAnsi="Times New Roman"/>
                <w:sz w:val="20"/>
              </w:rPr>
              <w:t xml:space="preserve"> </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r>
        <w:br w:type="page"/>
      </w:r>
    </w:p>
    <w:p>
      <w:pPr>
        <w:pStyle w:val="TextBody"/>
        <w:spacing w:before="0" w:after="0"/>
        <w:jc w:val="left"/>
        <w:rPr/>
      </w:pPr>
      <w:bookmarkStart w:id="23" w:name="ampl-ex31_1.htm"/>
      <w:bookmarkStart w:id="24" w:name="ksamplex31_1"/>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Spenser Skates,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Amplitude,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762" w:type="dxa"/>
        <w:jc w:val="left"/>
        <w:tblInd w:w="0" w:type="dxa"/>
        <w:tblCellMar>
          <w:top w:w="28" w:type="dxa"/>
          <w:left w:w="28" w:type="dxa"/>
          <w:bottom w:w="28" w:type="dxa"/>
          <w:right w:w="28" w:type="dxa"/>
        </w:tblCellMar>
      </w:tblPr>
      <w:tblGrid>
        <w:gridCol w:w="1741"/>
        <w:gridCol w:w="109"/>
        <w:gridCol w:w="406"/>
        <w:gridCol w:w="250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Spenser Skates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Spenser Skates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ampl-ex31_2.htm"/>
      <w:bookmarkStart w:id="26" w:name="ksamplex31_2"/>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OF PRINCIPAL FINANCIAL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Christopher Harms,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Amplitude,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777" w:type="dxa"/>
        <w:jc w:val="left"/>
        <w:tblInd w:w="0" w:type="dxa"/>
        <w:tblCellMar>
          <w:top w:w="28" w:type="dxa"/>
          <w:left w:w="28" w:type="dxa"/>
          <w:bottom w:w="28" w:type="dxa"/>
          <w:right w:w="28" w:type="dxa"/>
        </w:tblCellMar>
      </w:tblPr>
      <w:tblGrid>
        <w:gridCol w:w="1741"/>
        <w:gridCol w:w="109"/>
        <w:gridCol w:w="406"/>
        <w:gridCol w:w="252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2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Christopher Harms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Christopher Harms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ampl-ex32_1.htm"/>
      <w:bookmarkStart w:id="28" w:name="ksamplex32_1"/>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Amplitude, Inc. (the “Company”) on Form 10-Q for the quarter ended March 31, 2023 as filed with the Securities and Exchange Commission on the date hereof (the “Report”), I certify, pursuant to 18 U.S.C. § 1350, as adopted pursuant to § 906 of the Sarbanes-Oxley Act of 2002, as amended,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as amended;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4762" w:type="dxa"/>
        <w:jc w:val="left"/>
        <w:tblInd w:w="0" w:type="dxa"/>
        <w:tblCellMar>
          <w:top w:w="28" w:type="dxa"/>
          <w:left w:w="28" w:type="dxa"/>
          <w:bottom w:w="28" w:type="dxa"/>
          <w:right w:w="28" w:type="dxa"/>
        </w:tblCellMar>
      </w:tblPr>
      <w:tblGrid>
        <w:gridCol w:w="1741"/>
        <w:gridCol w:w="109"/>
        <w:gridCol w:w="406"/>
        <w:gridCol w:w="250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Spenser Skates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Spenser Skates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9" w:name="ampl-ex32_2.htm"/>
      <w:bookmarkStart w:id="30" w:name="ksamplex32_2"/>
      <w:bookmarkEnd w:id="29"/>
      <w:bookmarkEnd w:id="30"/>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OF PRINCIPAL FINANCIAL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Amplitude, Inc. (the “Company”) on Form 10-Q for the quarter ended March 31, 2023 as filed with the Securities and Exchange Commission on the date hereof (the “Report”), I certify, pursuant to 18 U.S.C. § 1350, as adopted pursuant to § 906 of the Sarbanes-Oxley Act of 2002, as amended,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as amended;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4777" w:type="dxa"/>
        <w:jc w:val="left"/>
        <w:tblInd w:w="0" w:type="dxa"/>
        <w:tblCellMar>
          <w:top w:w="28" w:type="dxa"/>
          <w:left w:w="28" w:type="dxa"/>
          <w:bottom w:w="28" w:type="dxa"/>
          <w:right w:w="28" w:type="dxa"/>
        </w:tblCellMar>
      </w:tblPr>
      <w:tblGrid>
        <w:gridCol w:w="1741"/>
        <w:gridCol w:w="109"/>
        <w:gridCol w:w="406"/>
        <w:gridCol w:w="252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2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Christopher Harms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Christopher Harms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6692/000119312521278308/d93786dex31.htm" TargetMode="External"/><Relationship Id="rId3" Type="http://schemas.openxmlformats.org/officeDocument/2006/relationships/hyperlink" Target="https://www.sec.gov/Archives/edgar/data/1866692/000119312521278308/d93786dex32.htm" TargetMode="External"/><Relationship Id="rId4" Type="http://schemas.openxmlformats.org/officeDocument/2006/relationships/hyperlink" Target="https://www.sec.gov/Archives/edgar/data/1866692/000119312521260696/d143868dex42.htm" TargetMode="External"/><Relationship Id="rId5" Type="http://schemas.openxmlformats.org/officeDocument/2006/relationships/hyperlink" Target="https://www.sec.gov/Archives/edgar/data/1866692/000119312521278407/d114916dex44.htm" TargetMode="External"/><Relationship Id="rId6" Type="http://schemas.openxmlformats.org/officeDocument/2006/relationships/hyperlink" Target="https://www.sec.gov/Archives/edgar/data/1866692/000119312521260696/d143868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42688</Words>
  <CharactersWithSpaces>280830</CharactersWithSpaces>
  <Paragraphs>5279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