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59"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5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2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001-40817</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-294640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5"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45-3937349</w:t>
            </w:r>
          </w:p>
        </w:tc>
      </w:tr>
      <w:tr>
        <w:trPr>
          <w:trHeight w:val="144"/>
        </w:trPr>
        <w:tc>
          <w:tcPr>
            <w:tcW w:w="4120" w:type="dxa"/>
            <w:vAlign w:val="bottom"/>
          </w:tcPr>
          <w:p>
            <w:pPr>
              <w:jc w:val="center"/>
              <w:ind w:right="1964"/>
              <w:spacing w:after="0" w:line="144" w:lineRule="exact"/>
              <w:rPr>
                <w:sz w:val="20"/>
                <w:szCs w:val="20"/>
                <w:color w:val="auto"/>
              </w:rPr>
            </w:pPr>
            <w:r>
              <w:rPr>
                <w:rFonts w:ascii="Arial" w:cs="Arial" w:eastAsia="Arial" w:hAnsi="Arial"/>
                <w:sz w:val="13"/>
                <w:szCs w:val="13"/>
                <w:b w:val="1"/>
                <w:bCs w:val="1"/>
                <w:color w:val="auto"/>
                <w:w w:val="87"/>
              </w:rPr>
              <w:t>(State or other jurisdiction of</w:t>
            </w:r>
          </w:p>
        </w:tc>
        <w:tc>
          <w:tcPr>
            <w:tcW w:w="3020" w:type="dxa"/>
            <w:vAlign w:val="bottom"/>
          </w:tcPr>
          <w:p>
            <w:pPr>
              <w:jc w:val="center"/>
              <w:ind w:left="1986"/>
              <w:spacing w:after="0" w:line="144" w:lineRule="exact"/>
              <w:rPr>
                <w:sz w:val="20"/>
                <w:szCs w:val="20"/>
                <w:color w:val="auto"/>
              </w:rPr>
            </w:pPr>
            <w:r>
              <w:rPr>
                <w:rFonts w:ascii="Arial" w:cs="Arial" w:eastAsia="Arial" w:hAnsi="Arial"/>
                <w:sz w:val="13"/>
                <w:szCs w:val="13"/>
                <w:b w:val="1"/>
                <w:bCs w:val="1"/>
                <w:color w:val="auto"/>
                <w:w w:val="92"/>
              </w:rPr>
              <w:t>(I.R.S. Employer</w:t>
            </w:r>
          </w:p>
        </w:tc>
      </w:tr>
      <w:tr>
        <w:trPr>
          <w:trHeight w:val="162"/>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0"/>
              </w:rPr>
              <w:t>201 Third Street, Suite 200</w:t>
            </w:r>
          </w:p>
        </w:tc>
        <w:tc>
          <w:tcPr>
            <w:tcW w:w="3020" w:type="dxa"/>
            <w:vAlign w:val="bottom"/>
          </w:tcPr>
          <w:p>
            <w:pPr>
              <w:spacing w:after="0"/>
              <w:rPr>
                <w:sz w:val="18"/>
                <w:szCs w:val="18"/>
                <w:color w:val="auto"/>
              </w:rPr>
            </w:pPr>
          </w:p>
        </w:tc>
      </w:tr>
      <w:tr>
        <w:trPr>
          <w:trHeight w:val="234"/>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0"/>
              </w:rPr>
              <w:t>San Francisco, California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94103</w:t>
            </w:r>
          </w:p>
        </w:tc>
      </w:tr>
      <w:tr>
        <w:trPr>
          <w:trHeight w:val="171"/>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231-2353</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207645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Pr>
          <w:p>
            <w:pPr>
              <w:jc w:val="center"/>
              <w:spacing w:after="0"/>
              <w:rPr>
                <w:sz w:val="20"/>
                <w:szCs w:val="20"/>
                <w:color w:val="auto"/>
              </w:rPr>
            </w:pPr>
            <w:r>
              <w:rPr>
                <w:rFonts w:ascii="Arial" w:cs="Arial" w:eastAsia="Arial" w:hAnsi="Arial"/>
                <w:sz w:val="16"/>
                <w:szCs w:val="16"/>
                <w:color w:val="auto"/>
                <w:w w:val="90"/>
              </w:rPr>
              <w:t>Class A Common Stock, $0.00001 par value per share</w:t>
            </w: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rPr>
              <w:t>AMPL</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right="20" w:firstLine="599"/>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8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64"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7" w:lineRule="exact"/>
        <w:rPr>
          <w:sz w:val="24"/>
          <w:szCs w:val="24"/>
          <w:color w:val="auto"/>
        </w:rPr>
      </w:pPr>
    </w:p>
    <w:p>
      <w:pPr>
        <w:ind w:right="140" w:firstLine="599"/>
        <w:spacing w:after="0" w:line="292" w:lineRule="auto"/>
        <w:rPr>
          <w:sz w:val="20"/>
          <w:szCs w:val="20"/>
          <w:color w:val="auto"/>
        </w:rPr>
      </w:pPr>
      <w:r>
        <w:rPr>
          <w:rFonts w:ascii="Arial" w:cs="Arial" w:eastAsia="Arial" w:hAnsi="Arial"/>
          <w:sz w:val="16"/>
          <w:szCs w:val="16"/>
          <w:color w:val="auto"/>
        </w:rPr>
        <w:t>As of November 3, 2023, there were 83,668,476 shares of the registrant's Class A common stock and 35,381,622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040" w:type="dxa"/>
            <w:vAlign w:val="bottom"/>
            <w:gridSpan w:val="13"/>
            <w:vMerge w:val="restart"/>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9"/>
            <w:vMerge w:val="continue"/>
          </w:tcPr>
          <w:p>
            <w:pPr>
              <w:spacing w:after="0"/>
              <w:rPr>
                <w:sz w:val="14"/>
                <w:szCs w:val="14"/>
                <w:color w:val="auto"/>
              </w:rPr>
            </w:pPr>
          </w:p>
        </w:tc>
        <w:tc>
          <w:tcPr>
            <w:tcW w:w="7040" w:type="dxa"/>
            <w:vAlign w:val="bottom"/>
            <w:gridSpan w:val="1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7"/>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Borders>
              <w:top w:val="single" w:sz="8" w:color="0000FF"/>
              <w:bottom w:val="single" w:sz="8" w:color="0000EE"/>
            </w:tcBorders>
            <w:gridSpan w:val="19"/>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1080" w:type="dxa"/>
            <w:vAlign w:val="bottom"/>
            <w:tcBorders>
              <w:top w:val="single" w:sz="8" w:color="0000FF"/>
            </w:tcBorders>
          </w:tcPr>
          <w:p>
            <w:pPr>
              <w:spacing w:after="0"/>
              <w:rPr>
                <w:sz w:val="18"/>
                <w:szCs w:val="18"/>
                <w:color w:val="auto"/>
              </w:rPr>
            </w:pPr>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20"/>
          </w:tcPr>
          <w:p>
            <w:pPr>
              <w:ind w:left="442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3"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Digital Analytics Platform and upsell and cross-sell additional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6" w:lineRule="exact"/>
        <w:rPr>
          <w:rFonts w:ascii="Arial" w:cs="Arial" w:eastAsia="Arial" w:hAnsi="Arial"/>
          <w:sz w:val="18"/>
          <w:szCs w:val="18"/>
          <w:color w:val="auto"/>
        </w:rPr>
      </w:pPr>
    </w:p>
    <w:p>
      <w:pPr>
        <w:ind w:left="1020" w:right="28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including our ability to grow and maintain our channel partners, and our ability to promote our brand;</w:t>
      </w:r>
    </w:p>
    <w:p>
      <w:pPr>
        <w:spacing w:after="0" w:line="61" w:lineRule="exact"/>
        <w:rPr>
          <w:rFonts w:ascii="Arial" w:cs="Arial" w:eastAsia="Arial" w:hAnsi="Arial"/>
          <w:sz w:val="18"/>
          <w:szCs w:val="18"/>
          <w:color w:val="auto"/>
        </w:rPr>
      </w:pPr>
    </w:p>
    <w:p>
      <w:pPr>
        <w:ind w:left="1020" w:right="5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public health crises and other global events, such as the ongoing war in Ukraine, on our business and the global economy generally;</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savings or operational efficiencies and charges in connection with our restructuring plan;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associated with being a public company.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does not contain all of the forward-looking statements made in this Quarterly Report on Form 10-Q.</w:t>
      </w:r>
    </w:p>
    <w:p>
      <w:pPr>
        <w:spacing w:after="0" w:line="23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right="120" w:firstLine="509"/>
        <w:spacing w:after="0" w:line="273"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6"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7" w:lineRule="exact"/>
        <w:rPr>
          <w:sz w:val="20"/>
          <w:szCs w:val="20"/>
          <w:color w:val="auto"/>
        </w:rPr>
      </w:pPr>
    </w:p>
    <w:p>
      <w:pPr>
        <w:ind w:left="1020" w:right="10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history of losses. As our costs increase, we may not be able to generate sufficient revenue to achieve and sustain profitability.</w:t>
      </w:r>
    </w:p>
    <w:p>
      <w:pPr>
        <w:spacing w:after="0" w:line="139" w:lineRule="exact"/>
        <w:rPr>
          <w:rFonts w:ascii="Arial" w:cs="Arial" w:eastAsia="Arial" w:hAnsi="Arial"/>
          <w:sz w:val="16"/>
          <w:szCs w:val="16"/>
          <w:color w:val="auto"/>
        </w:rPr>
      </w:pPr>
    </w:p>
    <w:p>
      <w:pPr>
        <w:ind w:left="1020" w:right="120" w:hanging="504"/>
        <w:spacing w:after="0" w:line="31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39" w:lineRule="exact"/>
        <w:rPr>
          <w:rFonts w:ascii="Arial" w:cs="Arial" w:eastAsia="Arial" w:hAnsi="Arial"/>
          <w:sz w:val="16"/>
          <w:szCs w:val="16"/>
          <w:color w:val="auto"/>
        </w:rPr>
      </w:pPr>
    </w:p>
    <w:p>
      <w:pPr>
        <w:ind w:left="1020" w:right="60" w:hanging="504"/>
        <w:spacing w:after="0" w:line="34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16" w:lineRule="exact"/>
        <w:rPr>
          <w:rFonts w:ascii="Arial" w:cs="Arial" w:eastAsia="Arial" w:hAnsi="Arial"/>
          <w:sz w:val="16"/>
          <w:szCs w:val="16"/>
          <w:color w:val="auto"/>
        </w:rPr>
      </w:pPr>
    </w:p>
    <w:p>
      <w:pPr>
        <w:ind w:left="1020" w:right="1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to focus on sales to larger organizations and may become more dependent on those relationships, which may increase the variability of our sales cycle and our results of operations.</w:t>
      </w:r>
    </w:p>
    <w:p>
      <w:pPr>
        <w:spacing w:after="0" w:line="61" w:lineRule="exact"/>
        <w:rPr>
          <w:rFonts w:ascii="Arial" w:cs="Arial" w:eastAsia="Arial" w:hAnsi="Arial"/>
          <w:sz w:val="18"/>
          <w:szCs w:val="18"/>
          <w:color w:val="auto"/>
        </w:rPr>
      </w:pPr>
    </w:p>
    <w:p>
      <w:pPr>
        <w:ind w:left="1020" w:right="3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61" w:lineRule="exact"/>
        <w:rPr>
          <w:rFonts w:ascii="Arial" w:cs="Arial" w:eastAsia="Arial" w:hAnsi="Arial"/>
          <w:sz w:val="18"/>
          <w:szCs w:val="18"/>
          <w:color w:val="auto"/>
        </w:rPr>
      </w:pPr>
    </w:p>
    <w:p>
      <w:pPr>
        <w:ind w:left="1020" w:right="64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61" w:lineRule="exact"/>
        <w:rPr>
          <w:rFonts w:ascii="Arial" w:cs="Arial" w:eastAsia="Arial" w:hAnsi="Arial"/>
          <w:sz w:val="18"/>
          <w:szCs w:val="18"/>
          <w:color w:val="auto"/>
        </w:rPr>
      </w:pPr>
    </w:p>
    <w:p>
      <w:pPr>
        <w:ind w:left="1020" w:right="60" w:hanging="504"/>
        <w:spacing w:after="0" w:line="34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spacing w:after="0" w:line="16" w:lineRule="exact"/>
        <w:rPr>
          <w:rFonts w:ascii="Arial" w:cs="Arial" w:eastAsia="Arial" w:hAnsi="Arial"/>
          <w:sz w:val="16"/>
          <w:szCs w:val="16"/>
          <w:color w:val="auto"/>
        </w:rPr>
      </w:pPr>
    </w:p>
    <w:p>
      <w:pPr>
        <w:ind w:left="1020" w:hanging="50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market for SaaS applications develops more slowly than we expect or declines, our business would be materially adversely affected.</w:t>
      </w:r>
    </w:p>
    <w:p>
      <w:pPr>
        <w:spacing w:after="0" w:line="139" w:lineRule="exact"/>
        <w:rPr>
          <w:rFonts w:ascii="Arial" w:cs="Arial" w:eastAsia="Arial" w:hAnsi="Arial"/>
          <w:sz w:val="16"/>
          <w:szCs w:val="16"/>
          <w:color w:val="auto"/>
        </w:rPr>
      </w:pPr>
    </w:p>
    <w:p>
      <w:pPr>
        <w:ind w:left="10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61"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control, economic sanctions, and trade sanctions, and anti-corruption laws and regulations, which may expose us to liability and increase our costs.</w:t>
      </w:r>
    </w:p>
    <w:p>
      <w:pPr>
        <w:spacing w:after="0" w:line="61" w:lineRule="exact"/>
        <w:rPr>
          <w:rFonts w:ascii="Arial" w:cs="Arial" w:eastAsia="Arial" w:hAnsi="Arial"/>
          <w:sz w:val="18"/>
          <w:szCs w:val="18"/>
          <w:color w:val="auto"/>
        </w:rPr>
      </w:pPr>
    </w:p>
    <w:p>
      <w:pPr>
        <w:ind w:left="1020" w:right="6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7"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trading price of our Class A common stock has been, and in the future, may be, volatile, and could decline significantly and rapidly.</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principal stockholders have the ability to influence the outcome of director elections and other matters requiring stockholder approval.</w:t>
      </w:r>
    </w:p>
    <w:p>
      <w:pPr>
        <w:spacing w:after="0" w:line="139" w:lineRule="exact"/>
        <w:rPr>
          <w:rFonts w:ascii="Arial" w:cs="Arial" w:eastAsia="Arial" w:hAnsi="Arial"/>
          <w:sz w:val="16"/>
          <w:szCs w:val="16"/>
          <w:color w:val="auto"/>
        </w:rPr>
      </w:pPr>
    </w:p>
    <w:p>
      <w:pPr>
        <w:ind w:left="10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r>
      <w:tr>
        <w:trPr>
          <w:trHeight w:val="202"/>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r>
      <w:tr>
        <w:trPr>
          <w:trHeight w:val="223"/>
        </w:trPr>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238,525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218,494</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Marketable securities, current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82,952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tcPr>
          <w:p>
            <w:pPr>
              <w:spacing w:after="0"/>
              <w:rPr>
                <w:sz w:val="19"/>
                <w:szCs w:val="19"/>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 of allowance for doubtful accounts of $643</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$690 as of September 30, 2023 and December 31, 2022, respectively</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32,810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22,716</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19,593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20,335</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Deferred commissions, current</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12,294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386,174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284,434</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Marketable securities, noncurrent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71,217</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9,408</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4,073</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Restricted cash, noncurrent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Deferred commissions, noncurrent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25,799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9,593</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6,354</w:t>
            </w:r>
          </w:p>
        </w:tc>
        <w:tc>
          <w:tcPr>
            <w:tcW w:w="100" w:type="dxa"/>
            <w:vAlign w:val="bottom"/>
          </w:tcPr>
          <w:p>
            <w:pPr>
              <w:spacing w:after="0"/>
              <w:rPr>
                <w:sz w:val="19"/>
                <w:szCs w:val="19"/>
                <w:color w:val="auto"/>
              </w:rPr>
            </w:pPr>
          </w:p>
        </w:tc>
      </w:tr>
      <w:tr>
        <w:trPr>
          <w:trHeight w:val="26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441,278</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413,755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6,234</w:t>
            </w:r>
          </w:p>
        </w:tc>
        <w:tc>
          <w:tcPr>
            <w:tcW w:w="26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27,233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18,699</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109,019</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89,993</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142,486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109,182</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7,093</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149,704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118,786</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9)</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$0.00001 par value per share; 20,000 shares authorized</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September 30, 2023 and December 31, 2022; zero shares issued and</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outstanding as of September 30, 2023 and December 31, 2022</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7700" w:type="dxa"/>
            <w:vAlign w:val="bottom"/>
          </w:tcPr>
          <w:p>
            <w:pPr>
              <w:ind w:left="200"/>
              <w:spacing w:after="0"/>
              <w:rPr>
                <w:sz w:val="20"/>
                <w:szCs w:val="20"/>
                <w:color w:val="auto"/>
              </w:rPr>
            </w:pPr>
            <w:r>
              <w:rPr>
                <w:rFonts w:ascii="Arial" w:cs="Arial" w:eastAsia="Arial" w:hAnsi="Arial"/>
                <w:sz w:val="16"/>
                <w:szCs w:val="16"/>
                <w:color w:val="auto"/>
              </w:rPr>
              <w:t>Class A common stock, $0.00001 par value per share; 600,000 shares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Arial" w:cs="Arial" w:eastAsia="Arial" w:hAnsi="Arial"/>
                <w:sz w:val="16"/>
                <w:szCs w:val="16"/>
                <w:color w:val="auto"/>
              </w:rPr>
              <w:t>authorized as of September 30, 2023 and December 31, 2022, 83,378 and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Arial" w:cs="Arial" w:eastAsia="Arial" w:hAnsi="Arial"/>
                <w:sz w:val="16"/>
                <w:szCs w:val="16"/>
                <w:color w:val="auto"/>
              </w:rPr>
              <w:t>76,351 shares issued and outstanding as of September 30, 2023 and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tcPr>
          <w:p>
            <w:pPr>
              <w:ind w:left="32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Class B common stock, $0.00001 par value per share; 600,000</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shares authorized as of September 30, 2023 and December 31, 2022; 35,418</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37,848 shares issued and outstanding as of September 30, 2023 and</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 respectively</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637,157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568,889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(597 )</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(754 )</w:t>
            </w:r>
          </w:p>
        </w:tc>
      </w:tr>
      <w:tr>
        <w:trPr>
          <w:trHeight w:val="226"/>
        </w:trPr>
        <w:tc>
          <w:tcPr>
            <w:tcW w:w="77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(344,987 )</w:t>
            </w:r>
          </w:p>
        </w:tc>
        <w:tc>
          <w:tcPr>
            <w:tcW w:w="2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(273,167 )</w:t>
            </w:r>
          </w:p>
        </w:tc>
      </w:tr>
      <w:tr>
        <w:trPr>
          <w:trHeight w:val="223"/>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291,574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294,969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70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441,278</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413,755</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-5359400</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-5359400</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-3886835</wp:posOffset>
            </wp:positionV>
            <wp:extent cx="12585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8570" cy="1714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-2687955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-179070</wp:posOffset>
            </wp:positionV>
            <wp:extent cx="685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w w:val="94"/>
              </w:rPr>
              <w:t>Three Months Ended</w:t>
            </w:r>
          </w:p>
        </w:tc>
        <w:tc>
          <w:tcPr>
            <w:tcW w:w="180" w:type="dxa"/>
            <w:vAlign w:val="bottom"/>
          </w:tcPr>
          <w:p>
            <w:pPr>
              <w:spacing w:after="0"/>
              <w:rPr>
                <w:sz w:val="18"/>
                <w:szCs w:val="18"/>
                <w:color w:val="auto"/>
              </w:rPr>
            </w:pPr>
          </w:p>
        </w:tc>
        <w:tc>
          <w:tcPr>
            <w:tcW w:w="1960" w:type="dxa"/>
            <w:vAlign w:val="bottom"/>
            <w:gridSpan w:val="5"/>
          </w:tcPr>
          <w:p>
            <w:pPr>
              <w:jc w:val="right"/>
              <w:ind w:right="281"/>
              <w:spacing w:after="0"/>
              <w:rPr>
                <w:sz w:val="20"/>
                <w:szCs w:val="20"/>
                <w:color w:val="auto"/>
              </w:rPr>
            </w:pPr>
            <w:r>
              <w:rPr>
                <w:rFonts w:ascii="Arial" w:cs="Arial" w:eastAsia="Arial" w:hAnsi="Arial"/>
                <w:sz w:val="18"/>
                <w:szCs w:val="18"/>
                <w:b w:val="1"/>
                <w:bCs w:val="1"/>
                <w:color w:val="auto"/>
                <w:w w:val="94"/>
              </w:rPr>
              <w:t>Nine Months Ended</w:t>
            </w:r>
          </w:p>
        </w:tc>
      </w:tr>
      <w:tr>
        <w:trPr>
          <w:trHeight w:val="241"/>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5"/>
          </w:tcPr>
          <w:p>
            <w:pPr>
              <w:jc w:val="right"/>
              <w:ind w:right="661"/>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96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6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100" w:type="dxa"/>
            <w:vAlign w:val="bottom"/>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51,199</w:t>
            </w:r>
          </w:p>
        </w:tc>
        <w:tc>
          <w:tcPr>
            <w:tcW w:w="100" w:type="dxa"/>
            <w:vAlign w:val="bottom"/>
          </w:tcPr>
          <w:p>
            <w:pPr>
              <w:spacing w:after="0"/>
              <w:rPr>
                <w:sz w:val="20"/>
                <w:szCs w:val="20"/>
                <w:color w:val="auto"/>
              </w:rPr>
            </w:pPr>
          </w:p>
        </w:tc>
      </w:tr>
      <w:tr>
        <w:trPr>
          <w:trHeight w:val="236"/>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151,223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58,397</w:t>
            </w:r>
          </w:p>
        </w:tc>
        <w:tc>
          <w:tcPr>
            <w:tcW w:w="100" w:type="dxa"/>
            <w:vAlign w:val="bottom"/>
            <w:shd w:val="clear" w:color="auto" w:fill="CFF0FC"/>
          </w:tcPr>
          <w:p>
            <w:pPr>
              <w:spacing w:after="0"/>
              <w:rPr>
                <w:sz w:val="21"/>
                <w:szCs w:val="21"/>
                <w:color w:val="auto"/>
              </w:rPr>
            </w:pPr>
          </w:p>
        </w:tc>
      </w:tr>
      <w:tr>
        <w:trPr>
          <w:trHeight w:val="236"/>
        </w:trPr>
        <w:tc>
          <w:tcPr>
            <w:tcW w:w="67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115,934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94,793</w:t>
            </w:r>
          </w:p>
        </w:tc>
        <w:tc>
          <w:tcPr>
            <w:tcW w:w="100" w:type="dxa"/>
            <w:vAlign w:val="bottom"/>
          </w:tcPr>
          <w:p>
            <w:pPr>
              <w:spacing w:after="0"/>
              <w:rPr>
                <w:sz w:val="20"/>
                <w:szCs w:val="20"/>
                <w:color w:val="auto"/>
              </w:rPr>
            </w:pPr>
          </w:p>
        </w:tc>
      </w:tr>
      <w:tr>
        <w:trPr>
          <w:trHeight w:val="249"/>
        </w:trPr>
        <w:tc>
          <w:tcPr>
            <w:tcW w:w="6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100" w:type="dxa"/>
            <w:vAlign w:val="bottom"/>
            <w:shd w:val="clear" w:color="auto" w:fill="CFF0FC"/>
          </w:tcPr>
          <w:p>
            <w:pPr>
              <w:spacing w:after="0"/>
              <w:rPr>
                <w:sz w:val="21"/>
                <w:szCs w:val="21"/>
                <w:color w:val="auto"/>
              </w:rPr>
            </w:pPr>
          </w:p>
        </w:tc>
      </w:tr>
      <w:tr>
        <w:trPr>
          <w:trHeight w:val="236"/>
        </w:trPr>
        <w:tc>
          <w:tcPr>
            <w:tcW w:w="674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18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232,206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r>
      <w:tr>
        <w:trPr>
          <w:trHeight w:val="242"/>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before provision for (benefit from) income taxes</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(71,094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(204 )</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r>
      <w:tr>
        <w:trPr>
          <w:trHeight w:val="276"/>
        </w:trPr>
        <w:tc>
          <w:tcPr>
            <w:tcW w:w="6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(71,820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loss per share attributable to Class A and Class B common stockholders: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(0.15 )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(0.20 )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(0.62 )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(0.63 )</w:t>
            </w:r>
          </w:p>
        </w:tc>
      </w:tr>
      <w:tr>
        <w:trPr>
          <w:trHeight w:val="202"/>
        </w:trPr>
        <w:tc>
          <w:tcPr>
            <w:tcW w:w="6740" w:type="dxa"/>
            <w:vAlign w:val="bottom"/>
            <w:tcBorders>
              <w:top w:val="single" w:sz="8" w:color="CFF0FC"/>
            </w:tcBorders>
          </w:tcPr>
          <w:p>
            <w:pPr>
              <w:ind w:left="20"/>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7"/>
        </w:trPr>
        <w:tc>
          <w:tcPr>
            <w:tcW w:w="6740" w:type="dxa"/>
            <w:vAlign w:val="bottom"/>
          </w:tcPr>
          <w:p>
            <w:pPr>
              <w:ind w:left="160"/>
              <w:spacing w:after="0"/>
              <w:rPr>
                <w:sz w:val="20"/>
                <w:szCs w:val="20"/>
                <w:color w:val="auto"/>
              </w:rPr>
            </w:pPr>
            <w:r>
              <w:rPr>
                <w:rFonts w:ascii="Arial" w:cs="Arial" w:eastAsia="Arial" w:hAnsi="Arial"/>
                <w:sz w:val="18"/>
                <w:szCs w:val="18"/>
                <w:color w:val="auto"/>
              </w:rPr>
              <w:t>Class A and Class B common stockholders: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6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112,016</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116,160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5"/>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unrealized gains (losses) on marketable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(580 )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(580 )</w:t>
            </w:r>
          </w:p>
        </w:tc>
      </w:tr>
      <w:tr>
        <w:trPr>
          <w:trHeight w:val="20"/>
        </w:trPr>
        <w:tc>
          <w:tcPr>
            <w:tcW w:w="6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74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(17,480 )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(23,124 )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(71,662 )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(69,912 )</w:t>
            </w:r>
          </w:p>
        </w:tc>
      </w:tr>
      <w:tr>
        <w:trPr>
          <w:trHeight w:val="20"/>
        </w:trPr>
        <w:tc>
          <w:tcPr>
            <w:tcW w:w="6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-3064510</wp:posOffset>
            </wp:positionV>
            <wp:extent cx="7683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-3064510</wp:posOffset>
            </wp:positionV>
            <wp:extent cx="7683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-3064510</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-2122805</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-2122805</wp:posOffset>
            </wp:positionV>
            <wp:extent cx="768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-2122805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-2122805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-1480820</wp:posOffset>
            </wp:positionV>
            <wp:extent cx="226885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68855" cy="17970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-1146810</wp:posOffset>
            </wp:positionV>
            <wp:extent cx="2268855"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68855" cy="31686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-675640</wp:posOffset>
            </wp:positionV>
            <wp:extent cx="2268855" cy="334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68855" cy="33401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-187960</wp:posOffset>
            </wp:positionV>
            <wp:extent cx="768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-187960</wp:posOffset>
            </wp:positionV>
            <wp:extent cx="768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-187960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17"/>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360" w:type="dxa"/>
            <w:vAlign w:val="bottom"/>
            <w:gridSpan w:val="4"/>
            <w:vMerge w:val="restart"/>
          </w:tcPr>
          <w:p>
            <w:pPr>
              <w:jc w:val="right"/>
              <w:ind w:right="177"/>
              <w:spacing w:after="0"/>
              <w:rPr>
                <w:sz w:val="20"/>
                <w:szCs w:val="20"/>
                <w:color w:val="auto"/>
              </w:rPr>
            </w:pPr>
            <w:r>
              <w:rPr>
                <w:rFonts w:ascii="Arial" w:cs="Arial" w:eastAsia="Arial" w:hAnsi="Arial"/>
                <w:sz w:val="13"/>
                <w:szCs w:val="13"/>
                <w:b w:val="1"/>
                <w:bCs w:val="1"/>
                <w:color w:val="auto"/>
                <w:w w:val="94"/>
              </w:rPr>
              <w:t>Class A and Class B common stock</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260" w:type="dxa"/>
            <w:vAlign w:val="bottom"/>
            <w:gridSpan w:val="2"/>
          </w:tcPr>
          <w:p>
            <w:pPr>
              <w:jc w:val="center"/>
              <w:ind w:right="217"/>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360" w:type="dxa"/>
            <w:vAlign w:val="bottom"/>
            <w:tcBorders>
              <w:bottom w:val="single" w:sz="8" w:color="auto"/>
            </w:tcBorders>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3"/>
                <w:szCs w:val="13"/>
                <w:color w:val="auto"/>
              </w:rPr>
            </w:pPr>
          </w:p>
        </w:tc>
        <w:tc>
          <w:tcPr>
            <w:tcW w:w="1260" w:type="dxa"/>
            <w:vAlign w:val="bottom"/>
            <w:gridSpan w:val="2"/>
          </w:tcPr>
          <w:p>
            <w:pPr>
              <w:jc w:val="center"/>
              <w:ind w:right="197"/>
              <w:spacing w:after="0"/>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3"/>
                <w:szCs w:val="13"/>
                <w:color w:val="auto"/>
              </w:rPr>
            </w:pPr>
          </w:p>
        </w:tc>
        <w:tc>
          <w:tcPr>
            <w:tcW w:w="126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3"/>
                <w:szCs w:val="13"/>
                <w:color w:val="auto"/>
              </w:rPr>
            </w:pPr>
          </w:p>
        </w:tc>
        <w:tc>
          <w:tcPr>
            <w:tcW w:w="1260" w:type="dxa"/>
            <w:vAlign w:val="bottom"/>
            <w:gridSpan w:val="2"/>
          </w:tcPr>
          <w:p>
            <w:pPr>
              <w:jc w:val="center"/>
              <w:ind w:right="177"/>
              <w:spacing w:after="0"/>
              <w:rPr>
                <w:sz w:val="20"/>
                <w:szCs w:val="20"/>
                <w:color w:val="auto"/>
              </w:rPr>
            </w:pPr>
            <w:r>
              <w:rPr>
                <w:rFonts w:ascii="Arial" w:cs="Arial" w:eastAsia="Arial" w:hAnsi="Arial"/>
                <w:sz w:val="12"/>
                <w:szCs w:val="12"/>
                <w:b w:val="1"/>
                <w:bCs w:val="1"/>
                <w:color w:val="auto"/>
                <w:w w:val="74"/>
              </w:rPr>
              <w:t>loss</w:t>
            </w:r>
          </w:p>
        </w:tc>
        <w:tc>
          <w:tcPr>
            <w:tcW w:w="100" w:type="dxa"/>
            <w:vAlign w:val="bottom"/>
          </w:tcPr>
          <w:p>
            <w:pPr>
              <w:spacing w:after="0"/>
              <w:rPr>
                <w:sz w:val="13"/>
                <w:szCs w:val="13"/>
                <w:color w:val="auto"/>
              </w:rPr>
            </w:pPr>
          </w:p>
        </w:tc>
        <w:tc>
          <w:tcPr>
            <w:tcW w:w="1260" w:type="dxa"/>
            <w:vAlign w:val="bottom"/>
            <w:gridSpan w:val="2"/>
          </w:tcPr>
          <w:p>
            <w:pPr>
              <w:jc w:val="right"/>
              <w:ind w:right="51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114,199</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568,889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(754</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(273,167</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294,969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20,409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Repurchase of unvested stock options</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(46 )</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(26,315 )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(26,315 )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2023</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115,582</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591,183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(482 )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(299,482 )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291,220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320" w:type="dxa"/>
            <w:vAlign w:val="bottom"/>
            <w:tcBorders>
              <w:top w:val="single" w:sz="8" w:color="CFF0FC"/>
            </w:tcBorders>
          </w:tcPr>
          <w:p>
            <w:pPr>
              <w:ind w:left="20"/>
              <w:spacing w:after="0" w:line="141" w:lineRule="exact"/>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22,300</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22,300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20" w:type="dxa"/>
            <w:vAlign w:val="bottom"/>
          </w:tcPr>
          <w:p>
            <w:pPr>
              <w:ind w:left="20"/>
              <w:spacing w:after="0" w:line="134" w:lineRule="exact"/>
              <w:rPr>
                <w:sz w:val="20"/>
                <w:szCs w:val="20"/>
                <w:color w:val="auto"/>
              </w:rPr>
            </w:pPr>
            <w:r>
              <w:rPr>
                <w:rFonts w:ascii="Arial" w:cs="Arial" w:eastAsia="Arial" w:hAnsi="Arial"/>
                <w:sz w:val="13"/>
                <w:szCs w:val="13"/>
                <w:color w:val="auto"/>
                <w:w w:val="95"/>
              </w:rPr>
              <w:t>Issuance of common stock under employee stock purchase</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plan</w:t>
            </w:r>
          </w:p>
        </w:tc>
        <w:tc>
          <w:tcPr>
            <w:tcW w:w="1160" w:type="dxa"/>
            <w:vAlign w:val="bottom"/>
          </w:tcPr>
          <w:p>
            <w:pPr>
              <w:jc w:val="right"/>
              <w:spacing w:after="0"/>
              <w:rPr>
                <w:sz w:val="20"/>
                <w:szCs w:val="20"/>
                <w:color w:val="auto"/>
              </w:rPr>
            </w:pPr>
            <w:r>
              <w:rPr>
                <w:rFonts w:ascii="Arial" w:cs="Arial" w:eastAsia="Arial" w:hAnsi="Arial"/>
                <w:sz w:val="13"/>
                <w:szCs w:val="13"/>
                <w:color w:val="auto"/>
              </w:rPr>
              <w:t>302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2,564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160" w:type="dxa"/>
            <w:vAlign w:val="bottom"/>
          </w:tcPr>
          <w:p>
            <w:pPr>
              <w:jc w:val="right"/>
              <w:spacing w:after="0"/>
              <w:rPr>
                <w:sz w:val="20"/>
                <w:szCs w:val="20"/>
                <w:color w:val="auto"/>
              </w:rPr>
            </w:pPr>
            <w:r>
              <w:rPr>
                <w:rFonts w:ascii="Arial" w:cs="Arial" w:eastAsia="Arial" w:hAnsi="Arial"/>
                <w:sz w:val="13"/>
                <w:szCs w:val="13"/>
                <w:color w:val="auto"/>
              </w:rPr>
              <w:t>1,378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(27,758 )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(27,758 )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37"/>
              <w:spacing w:after="0"/>
              <w:rPr>
                <w:sz w:val="20"/>
                <w:szCs w:val="20"/>
                <w:color w:val="auto"/>
              </w:rPr>
            </w:pPr>
            <w:r>
              <w:rPr>
                <w:rFonts w:ascii="Arial" w:cs="Arial" w:eastAsia="Arial" w:hAnsi="Arial"/>
                <w:sz w:val="13"/>
                <w:szCs w:val="13"/>
                <w:color w:val="auto"/>
              </w:rPr>
              <w:t>(382 )</w:t>
            </w:r>
          </w:p>
        </w:tc>
        <w:tc>
          <w:tcPr>
            <w:tcW w:w="100" w:type="dxa"/>
            <w:vAlign w:val="bottom"/>
          </w:tcPr>
          <w:p>
            <w:pPr>
              <w:spacing w:after="0"/>
              <w:rPr>
                <w:sz w:val="14"/>
                <w:szCs w:val="14"/>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(382 )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2023</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117,490</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616,953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(864 )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(327,240 )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288,850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320" w:type="dxa"/>
            <w:vAlign w:val="bottom"/>
            <w:tcBorders>
              <w:top w:val="single" w:sz="8" w:color="CFF0FC"/>
            </w:tcBorders>
          </w:tcPr>
          <w:p>
            <w:pPr>
              <w:ind w:left="20"/>
              <w:spacing w:after="0" w:line="141" w:lineRule="exact"/>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23,593</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23,593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320" w:type="dxa"/>
            <w:vAlign w:val="bottom"/>
          </w:tcPr>
          <w:p>
            <w:pPr>
              <w:ind w:left="20"/>
              <w:spacing w:after="0" w:line="134" w:lineRule="exact"/>
              <w:rPr>
                <w:sz w:val="20"/>
                <w:szCs w:val="20"/>
                <w:color w:val="auto"/>
              </w:rPr>
            </w:pPr>
            <w:r>
              <w:rPr>
                <w:rFonts w:ascii="Arial" w:cs="Arial" w:eastAsia="Arial" w:hAnsi="Arial"/>
                <w:sz w:val="13"/>
                <w:szCs w:val="13"/>
                <w:color w:val="auto"/>
                <w:w w:val="97"/>
              </w:rPr>
              <w:t>Tax withholding on net share settlement of restricted stock</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units</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(415 )</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(4,727 )</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(4,727 )</w:t>
            </w: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(17,747 )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(17,747 )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September 30, 2023</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118,796</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637,157</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(597 )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(344,987 )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291,574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-2080260</wp:posOffset>
            </wp:positionV>
            <wp:extent cx="4298315" cy="128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98315" cy="12827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-1052830</wp:posOffset>
            </wp:positionV>
            <wp:extent cx="429831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98315" cy="12827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18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w w:val="86"/>
              </w:rPr>
              <w:t>Class A and Class B common stock</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3"/>
                <w:szCs w:val="13"/>
                <w:color w:val="auto"/>
              </w:rPr>
            </w:pPr>
          </w:p>
        </w:tc>
        <w:tc>
          <w:tcPr>
            <w:tcW w:w="126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4"/>
              </w:rPr>
              <w:t>loss</w:t>
            </w:r>
          </w:p>
        </w:tc>
        <w:tc>
          <w:tcPr>
            <w:tcW w:w="100" w:type="dxa"/>
            <w:vAlign w:val="bottom"/>
          </w:tcPr>
          <w:p>
            <w:pPr>
              <w:spacing w:after="0"/>
              <w:rPr>
                <w:sz w:val="13"/>
                <w:szCs w:val="13"/>
                <w:color w:val="auto"/>
              </w:rPr>
            </w:pPr>
          </w:p>
        </w:tc>
        <w:tc>
          <w:tcPr>
            <w:tcW w:w="1260" w:type="dxa"/>
            <w:vAlign w:val="bottom"/>
            <w:gridSpan w:val="2"/>
          </w:tcPr>
          <w:p>
            <w:pPr>
              <w:jc w:val="right"/>
              <w:ind w:right="51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109,876</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486,354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(179,807</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306,548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13,785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Repurchase of unvested stock options</w:t>
            </w:r>
          </w:p>
        </w:tc>
        <w:tc>
          <w:tcPr>
            <w:tcW w:w="1400" w:type="dxa"/>
            <w:vAlign w:val="bottom"/>
            <w:gridSpan w:val="2"/>
          </w:tcPr>
          <w:p>
            <w:pPr>
              <w:jc w:val="right"/>
              <w:ind w:right="200"/>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Cumulative impact of Topic 842 adoption</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37"/>
              <w:spacing w:after="0"/>
              <w:rPr>
                <w:sz w:val="20"/>
                <w:szCs w:val="20"/>
                <w:color w:val="auto"/>
              </w:rPr>
            </w:pPr>
            <w:r>
              <w:rPr>
                <w:rFonts w:ascii="Arial" w:cs="Arial" w:eastAsia="Arial" w:hAnsi="Arial"/>
                <w:sz w:val="13"/>
                <w:szCs w:val="13"/>
                <w:color w:val="auto"/>
              </w:rPr>
              <w:t>(22,220 )</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(22,220 )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2022</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111,507</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504,859</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(202,011 )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302,849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15,155</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15,155</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320" w:type="dxa"/>
            <w:vAlign w:val="bottom"/>
          </w:tcPr>
          <w:p>
            <w:pPr>
              <w:ind w:left="20"/>
              <w:spacing w:after="0" w:line="134" w:lineRule="exact"/>
              <w:rPr>
                <w:sz w:val="20"/>
                <w:szCs w:val="20"/>
                <w:color w:val="auto"/>
              </w:rPr>
            </w:pPr>
            <w:r>
              <w:rPr>
                <w:rFonts w:ascii="Arial" w:cs="Arial" w:eastAsia="Arial" w:hAnsi="Arial"/>
                <w:sz w:val="13"/>
                <w:szCs w:val="13"/>
                <w:color w:val="auto"/>
                <w:w w:val="95"/>
              </w:rPr>
              <w:t>Issuance of common stock under employee stock purchase</w:t>
            </w: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Arial" w:cs="Arial" w:eastAsia="Arial" w:hAnsi="Arial"/>
                <w:sz w:val="13"/>
                <w:szCs w:val="13"/>
                <w:color w:val="auto"/>
              </w:rPr>
              <w:t>plan</w:t>
            </w:r>
          </w:p>
        </w:tc>
        <w:tc>
          <w:tcPr>
            <w:tcW w:w="1140" w:type="dxa"/>
            <w:vAlign w:val="bottom"/>
          </w:tcPr>
          <w:p>
            <w:pPr>
              <w:jc w:val="right"/>
              <w:spacing w:after="0"/>
              <w:rPr>
                <w:sz w:val="20"/>
                <w:szCs w:val="20"/>
                <w:color w:val="auto"/>
              </w:rPr>
            </w:pPr>
            <w:r>
              <w:rPr>
                <w:rFonts w:ascii="Arial" w:cs="Arial" w:eastAsia="Arial" w:hAnsi="Arial"/>
                <w:sz w:val="13"/>
                <w:szCs w:val="13"/>
                <w:color w:val="auto"/>
              </w:rPr>
              <w:t>176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tcPr>
          <w:p>
            <w:pPr>
              <w:jc w:val="right"/>
              <w:spacing w:after="0"/>
              <w:rPr>
                <w:sz w:val="20"/>
                <w:szCs w:val="20"/>
                <w:color w:val="auto"/>
              </w:rPr>
            </w:pPr>
            <w:r>
              <w:rPr>
                <w:rFonts w:ascii="Arial" w:cs="Arial" w:eastAsia="Arial" w:hAnsi="Arial"/>
                <w:sz w:val="13"/>
                <w:szCs w:val="13"/>
                <w:color w:val="auto"/>
              </w:rPr>
              <w:t>286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 of unvested stock options</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(4 )</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37"/>
              <w:spacing w:after="0"/>
              <w:rPr>
                <w:sz w:val="20"/>
                <w:szCs w:val="20"/>
                <w:color w:val="auto"/>
              </w:rPr>
            </w:pPr>
            <w:r>
              <w:rPr>
                <w:rFonts w:ascii="Arial" w:cs="Arial" w:eastAsia="Arial" w:hAnsi="Arial"/>
                <w:sz w:val="13"/>
                <w:szCs w:val="13"/>
                <w:color w:val="auto"/>
              </w:rPr>
              <w:t>(24,568 )</w:t>
            </w:r>
          </w:p>
        </w:tc>
        <w:tc>
          <w:tcPr>
            <w:tcW w:w="1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(24,568 )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2022</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112,294</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524,632</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(226,579 )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298,054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18,701</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18,701</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37"/>
              <w:spacing w:after="0"/>
              <w:rPr>
                <w:sz w:val="20"/>
                <w:szCs w:val="20"/>
                <w:color w:val="auto"/>
              </w:rPr>
            </w:pPr>
            <w:r>
              <w:rPr>
                <w:rFonts w:ascii="Arial" w:cs="Arial" w:eastAsia="Arial" w:hAnsi="Arial"/>
                <w:sz w:val="13"/>
                <w:szCs w:val="13"/>
                <w:color w:val="auto"/>
              </w:rPr>
              <w:t>(22,544 )</w:t>
            </w:r>
          </w:p>
        </w:tc>
        <w:tc>
          <w:tcPr>
            <w:tcW w:w="1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(22,544 )</w:t>
            </w:r>
          </w:p>
        </w:tc>
        <w:tc>
          <w:tcPr>
            <w:tcW w:w="0" w:type="dxa"/>
            <w:vAlign w:val="bottom"/>
          </w:tcPr>
          <w:p>
            <w:pPr>
              <w:spacing w:after="0"/>
              <w:rPr>
                <w:sz w:val="1"/>
                <w:szCs w:val="1"/>
                <w:color w:val="auto"/>
              </w:rPr>
            </w:pPr>
          </w:p>
        </w:tc>
      </w:tr>
      <w:tr>
        <w:trPr>
          <w:trHeight w:val="175"/>
        </w:trPr>
        <w:tc>
          <w:tcPr>
            <w:tcW w:w="3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 net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(580 )</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(580 )</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320" w:type="dxa"/>
            <w:vAlign w:val="bottom"/>
          </w:tcPr>
          <w:p>
            <w:pPr>
              <w:ind w:left="20"/>
              <w:spacing w:after="0"/>
              <w:rPr>
                <w:sz w:val="20"/>
                <w:szCs w:val="20"/>
                <w:color w:val="auto"/>
              </w:rPr>
            </w:pPr>
            <w:r>
              <w:rPr>
                <w:rFonts w:ascii="Arial" w:cs="Arial" w:eastAsia="Arial" w:hAnsi="Arial"/>
                <w:sz w:val="13"/>
                <w:szCs w:val="13"/>
                <w:color w:val="auto"/>
              </w:rPr>
              <w:t>Balance at September 30, 2022</w:t>
            </w:r>
          </w:p>
        </w:tc>
        <w:tc>
          <w:tcPr>
            <w:tcW w:w="1140" w:type="dxa"/>
            <w:vAlign w:val="bottom"/>
          </w:tcPr>
          <w:p>
            <w:pPr>
              <w:jc w:val="right"/>
              <w:spacing w:after="0"/>
              <w:rPr>
                <w:sz w:val="20"/>
                <w:szCs w:val="20"/>
                <w:color w:val="auto"/>
              </w:rPr>
            </w:pPr>
            <w:r>
              <w:rPr>
                <w:rFonts w:ascii="Arial" w:cs="Arial" w:eastAsia="Arial" w:hAnsi="Arial"/>
                <w:sz w:val="13"/>
                <w:szCs w:val="13"/>
                <w:color w:val="auto"/>
              </w:rPr>
              <w:t>113,105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544,738</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(580 )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37"/>
              <w:spacing w:after="0"/>
              <w:rPr>
                <w:sz w:val="20"/>
                <w:szCs w:val="20"/>
                <w:color w:val="auto"/>
              </w:rPr>
            </w:pPr>
            <w:r>
              <w:rPr>
                <w:rFonts w:ascii="Arial" w:cs="Arial" w:eastAsia="Arial" w:hAnsi="Arial"/>
                <w:sz w:val="13"/>
                <w:szCs w:val="13"/>
                <w:color w:val="auto"/>
              </w:rPr>
              <w:t>(249,123 )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295,036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-1994535</wp:posOffset>
            </wp:positionV>
            <wp:extent cx="430720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07205" cy="13716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-915670</wp:posOffset>
            </wp:positionV>
            <wp:extent cx="430720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07205" cy="13716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-222250</wp:posOffset>
            </wp:positionV>
            <wp:extent cx="76835"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-222250</wp:posOffset>
            </wp:positionV>
            <wp:extent cx="76835"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-222250</wp:posOffset>
            </wp:positionV>
            <wp:extent cx="76835"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-222250</wp:posOffset>
            </wp:positionV>
            <wp:extent cx="6858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-222250</wp:posOffset>
            </wp:positionV>
            <wp:extent cx="6858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5"/>
          </w:tcPr>
          <w:p>
            <w:pPr>
              <w:jc w:val="right"/>
              <w:ind w:right="361"/>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50"/>
        </w:trPr>
        <w:tc>
          <w:tcPr>
            <w:tcW w:w="77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(71,820 )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(69,332 )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3,226</w:t>
            </w: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46,831</w:t>
            </w:r>
          </w:p>
        </w:tc>
        <w:tc>
          <w:tcPr>
            <w:tcW w:w="26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(934 )</w:t>
            </w: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(62 )</w:t>
            </w: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operating lease costs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26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(10,776 )</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(10,890 )</w:t>
            </w:r>
          </w:p>
        </w:tc>
      </w:tr>
      <w:tr>
        <w:trPr>
          <w:trHeight w:val="236"/>
        </w:trPr>
        <w:tc>
          <w:tcPr>
            <w:tcW w:w="77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(793 )</w:t>
            </w:r>
          </w:p>
        </w:tc>
      </w:tr>
      <w:tr>
        <w:trPr>
          <w:trHeight w:val="249"/>
        </w:trPr>
        <w:tc>
          <w:tcPr>
            <w:tcW w:w="7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commissions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(694 )</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(7,588 )</w:t>
            </w:r>
          </w:p>
        </w:tc>
      </w:tr>
      <w:tr>
        <w:trPr>
          <w:trHeight w:val="236"/>
        </w:trPr>
        <w:tc>
          <w:tcPr>
            <w:tcW w:w="7700" w:type="dxa"/>
            <w:vAlign w:val="bottom"/>
          </w:tcPr>
          <w:p>
            <w:pPr>
              <w:ind w:left="56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3,636</w:t>
            </w: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(1,173 )</w:t>
            </w:r>
          </w:p>
        </w:tc>
      </w:tr>
      <w:tr>
        <w:trPr>
          <w:trHeight w:val="236"/>
        </w:trPr>
        <w:tc>
          <w:tcPr>
            <w:tcW w:w="770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11,080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8,923</w:t>
            </w: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26,166</w:t>
            </w:r>
          </w:p>
        </w:tc>
        <w:tc>
          <w:tcPr>
            <w:tcW w:w="260" w:type="dxa"/>
            <w:vAlign w:val="bottom"/>
            <w:shd w:val="clear" w:color="auto" w:fill="CFF0FC"/>
          </w:tcPr>
          <w:p>
            <w:pPr>
              <w:spacing w:after="0"/>
              <w:rPr>
                <w:sz w:val="21"/>
                <w:szCs w:val="21"/>
                <w:color w:val="auto"/>
              </w:rPr>
            </w:pPr>
          </w:p>
        </w:tc>
      </w:tr>
      <w:tr>
        <w:trPr>
          <w:trHeight w:val="236"/>
        </w:trPr>
        <w:tc>
          <w:tcPr>
            <w:tcW w:w="770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(2,903 )</w:t>
            </w: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(2,488 )</w:t>
            </w:r>
          </w:p>
        </w:tc>
      </w:tr>
      <w:tr>
        <w:trPr>
          <w:trHeight w:val="236"/>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23,309</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(59,712 )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(995 )</w:t>
            </w: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(3,012 )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Capitalization of internal-use software costs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(1,349 )</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(1,523 )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260" w:type="dxa"/>
            <w:vAlign w:val="bottom"/>
          </w:tcPr>
          <w:p>
            <w:pPr>
              <w:spacing w:after="0"/>
              <w:rPr>
                <w:sz w:val="20"/>
                <w:szCs w:val="20"/>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(394 )</w:t>
            </w:r>
          </w:p>
        </w:tc>
      </w:tr>
      <w:tr>
        <w:trPr>
          <w:trHeight w:val="236"/>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26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Cash received for tax withholding obligations on equity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award settlements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14,026</w:t>
            </w: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tax withholding obligations on equity award settlements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(16,875 )</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(14,988 )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Repurchase of unvested stock options</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(648 )</w:t>
            </w: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(15 )</w:t>
            </w:r>
          </w:p>
        </w:tc>
      </w:tr>
      <w:tr>
        <w:trPr>
          <w:trHeight w:val="236"/>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15"/>
        </w:trPr>
        <w:tc>
          <w:tcPr>
            <w:tcW w:w="7700" w:type="dxa"/>
            <w:vAlign w:val="bottom"/>
          </w:tcPr>
          <w:p>
            <w:pPr>
              <w:ind w:left="740"/>
              <w:spacing w:after="0"/>
              <w:rPr>
                <w:sz w:val="20"/>
                <w:szCs w:val="20"/>
                <w:color w:val="auto"/>
              </w:rPr>
            </w:pPr>
            <w:r>
              <w:rPr>
                <w:rFonts w:ascii="Arial" w:cs="Arial" w:eastAsia="Arial" w:hAnsi="Arial"/>
                <w:sz w:val="18"/>
                <w:szCs w:val="18"/>
                <w:color w:val="auto"/>
              </w:rPr>
              <w:t>Net increase (decrease) in cash, cash equivalents, and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7"/>
        </w:trPr>
        <w:tc>
          <w:tcPr>
            <w:tcW w:w="770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20,041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(60,195 )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219,349</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308,295</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239,390</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248,100</w:t>
            </w:r>
          </w:p>
        </w:tc>
        <w:tc>
          <w:tcPr>
            <w:tcW w:w="26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Vesting of early exercised options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1,993</w:t>
            </w:r>
          </w:p>
        </w:tc>
        <w:tc>
          <w:tcPr>
            <w:tcW w:w="26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FF0FC"/>
          </w:tcPr>
          <w:p>
            <w:pPr>
              <w:spacing w:after="0"/>
              <w:rPr>
                <w:sz w:val="21"/>
                <w:szCs w:val="21"/>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Stock-based compensation capitalized as internal-use software costs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-3578860</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-3578860</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-2637155</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-2637155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-1558290</wp:posOffset>
            </wp:positionV>
            <wp:extent cx="68580" cy="299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-1558290</wp:posOffset>
            </wp:positionV>
            <wp:extent cx="68580" cy="299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-1104265</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-1104265</wp:posOffset>
            </wp:positionV>
            <wp:extent cx="6858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8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unaudited condensed consolidated balance sheet as of December 31, 2022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75" w:lineRule="exact"/>
        <w:rPr>
          <w:sz w:val="20"/>
          <w:szCs w:val="20"/>
          <w:color w:val="auto"/>
        </w:rPr>
      </w:pPr>
    </w:p>
    <w:p>
      <w:pPr>
        <w:ind w:right="500" w:firstLine="509"/>
        <w:spacing w:after="0" w:line="307"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included in the Company’s Annual Report on Form 10-K for the year ended December 31, 2022 (the “2022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62" w:lineRule="exact"/>
        <w:rPr>
          <w:sz w:val="20"/>
          <w:szCs w:val="20"/>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period of benefit for deferred commissions;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useful lives of long-lived assets;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of goodwill and intangible assets;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measurement, and valuation of deferred tax assets and income tax uncertainties;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incremental borrowing rates used for operating leases.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Concentration of Risk and Significant Customers</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No customer accounted for 10% or more of total revenue for the three and nine months ended September 30, 2023 and 2022. As of the quarter ended September 30, 2023, one customer represented 15% of accounts receivable. As of the year ended December 31, 2022, no customer represented 10% or more of accounts receivable.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 Company's significant accounting policies are described in the 2022 Form 10-K. There have been no significant changes to these policies that have had a material impact on the Company’s condensed consolidated financial statements and related notes for the nine months ended September 30, 2023.</w:t>
      </w:r>
    </w:p>
    <w:p>
      <w:pPr>
        <w:spacing w:after="0" w:line="28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amount of revenue recognized in the nine months ended September 30, 2023 that was included in deferred revenue as of December 31, 2022 was $87.3 million.</w:t>
      </w:r>
    </w:p>
    <w:p>
      <w:pPr>
        <w:spacing w:after="0" w:line="169"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As of September 30, 2023 and December 31, 2022, unrecognized transaction price related to remaining performance obligations was $237.6 million and $248.2 million, respectively. The Company’s remaining performance obligations as of September 30, 2023 and December 31, 2022 are expected to be recognized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18"/>
                <w:szCs w:val="18"/>
                <w:color w:val="auto"/>
              </w:rPr>
            </w:pPr>
          </w:p>
        </w:tc>
      </w:t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r>
      <w:tr>
        <w:trPr>
          <w:trHeight w:val="241"/>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70"/>
        </w:trPr>
        <w:tc>
          <w:tcPr>
            <w:tcW w:w="7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or equal to 12 months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190,595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Greater than 12 months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57,581</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237,580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following table shows the Company’s disaggregation of revenue by geographic areas, as determined based on the address of the Company's customers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50"/>
        </w:trPr>
        <w:tc>
          <w:tcPr>
            <w:tcW w:w="3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5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37,399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124,937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106,394</w:t>
            </w:r>
          </w:p>
        </w:tc>
        <w:tc>
          <w:tcPr>
            <w:tcW w:w="100" w:type="dxa"/>
            <w:vAlign w:val="bottom"/>
            <w:shd w:val="clear" w:color="auto" w:fill="CFF0FC"/>
          </w:tcPr>
          <w:p>
            <w:pPr>
              <w:spacing w:after="0"/>
              <w:rPr>
                <w:sz w:val="21"/>
                <w:szCs w:val="2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66,415</w:t>
            </w:r>
          </w:p>
        </w:tc>
        <w:tc>
          <w:tcPr>
            <w:tcW w:w="100" w:type="dxa"/>
            <w:vAlign w:val="bottom"/>
          </w:tcPr>
          <w:p>
            <w:pPr>
              <w:spacing w:after="0"/>
              <w:rPr>
                <w:sz w:val="21"/>
                <w:szCs w:val="21"/>
                <w:color w:val="auto"/>
              </w:rPr>
            </w:pPr>
          </w:p>
        </w:tc>
      </w:tr>
      <w:tr>
        <w:trPr>
          <w:trHeight w:val="27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5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32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-453390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-436245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-453390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-436245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-453390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-436245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Commissions paid upon the initial acquisition of a contract are deferred and then amortized on a straight-line basis over a period of benefit, determined to be five years. The following table represents a roll forward of the Company’s deferred commissions for the three and nine months ended September 30, 2023 and 2022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28,685</w:t>
            </w:r>
          </w:p>
        </w:tc>
        <w:tc>
          <w:tcPr>
            <w:tcW w:w="100" w:type="dxa"/>
            <w:vAlign w:val="bottom"/>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Additions to deferred commissions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deferred commissions</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(3,103 )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(2,551 )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(8,764 )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(6,913 )</w:t>
            </w:r>
          </w:p>
        </w:tc>
      </w:tr>
      <w:tr>
        <w:trPr>
          <w:trHeight w:val="236"/>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37,411</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37,411</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100" w:type="dxa"/>
            <w:vAlign w:val="bottom"/>
            <w:tcBorders>
              <w:top w:val="single" w:sz="8" w:color="CFF0FC"/>
            </w:tcBorders>
          </w:tcPr>
          <w:p>
            <w:pPr>
              <w:spacing w:after="0"/>
              <w:rPr>
                <w:sz w:val="20"/>
                <w:szCs w:val="20"/>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commissions, current portion</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shd w:val="clear" w:color="auto" w:fill="CFF0FC"/>
          </w:tcPr>
          <w:p>
            <w:pPr>
              <w:spacing w:after="0"/>
              <w:rPr>
                <w:sz w:val="20"/>
                <w:szCs w:val="20"/>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100" w:type="dxa"/>
            <w:vAlign w:val="bottom"/>
          </w:tcPr>
          <w:p>
            <w:pPr>
              <w:spacing w:after="0"/>
              <w:rPr>
                <w:sz w:val="21"/>
                <w:szCs w:val="2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commissions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-667385</wp:posOffset>
            </wp:positionV>
            <wp:extent cx="7683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-667385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-667385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show the Company’s financial statement details as of September 30, 2023 and December 31, 2022.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the Company's cash, cash equivalents, and restricted cash at each period end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As of 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100" w:type="dxa"/>
            <w:vAlign w:val="bottom"/>
          </w:tcPr>
          <w:p>
            <w:pPr>
              <w:spacing w:after="0"/>
              <w:rPr>
                <w:sz w:val="20"/>
                <w:szCs w:val="20"/>
                <w:color w:val="auto"/>
              </w:rPr>
            </w:pPr>
          </w:p>
        </w:tc>
      </w:tr>
      <w:tr>
        <w:trPr>
          <w:trHeight w:val="250"/>
        </w:trPr>
        <w:tc>
          <w:tcPr>
            <w:tcW w:w="5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238,525</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247,248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218,494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307,445</w:t>
            </w:r>
          </w:p>
        </w:tc>
        <w:tc>
          <w:tcPr>
            <w:tcW w:w="100" w:type="dxa"/>
            <w:vAlign w:val="bottom"/>
          </w:tcPr>
          <w:p>
            <w:pPr>
              <w:spacing w:after="0"/>
              <w:rPr>
                <w:sz w:val="20"/>
                <w:szCs w:val="20"/>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 noncurrent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239,390</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219,349</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308,295</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-187960</wp:posOffset>
            </wp:positionV>
            <wp:extent cx="768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prepaid expense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2"/>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12"/>
        <w:spacing w:after="0"/>
        <w:rPr>
          <w:sz w:val="20"/>
          <w:szCs w:val="20"/>
          <w:color w:val="auto"/>
        </w:rPr>
      </w:pPr>
      <w:r>
        <w:rPr>
          <w:rFonts w:ascii="Arial" w:cs="Arial" w:eastAsia="Arial" w:hAnsi="Arial"/>
          <w:sz w:val="18"/>
          <w:szCs w:val="18"/>
          <w:b w:val="1"/>
          <w:bCs w:val="1"/>
          <w:color w:val="auto"/>
        </w:rPr>
        <w:t>September 30,</w:t>
      </w:r>
    </w:p>
    <w:p>
      <w:pPr>
        <w:spacing w:after="0" w:line="17" w:lineRule="exact"/>
        <w:rPr>
          <w:sz w:val="20"/>
          <w:szCs w:val="20"/>
          <w:color w:val="auto"/>
        </w:rPr>
      </w:pPr>
    </w:p>
    <w:p>
      <w:pPr>
        <w:ind w:left="592"/>
        <w:spacing w:after="0"/>
        <w:rPr>
          <w:sz w:val="20"/>
          <w:szCs w:val="20"/>
          <w:color w:val="auto"/>
        </w:rPr>
      </w:pPr>
      <w:r>
        <w:rPr>
          <w:rFonts w:ascii="Arial" w:cs="Arial" w:eastAsia="Arial" w:hAnsi="Arial"/>
          <w:sz w:val="18"/>
          <w:szCs w:val="18"/>
          <w:b w:val="1"/>
          <w:bCs w:val="1"/>
          <w:color w:val="auto"/>
        </w:rPr>
        <w:t>2023</w:t>
      </w:r>
    </w:p>
    <w:p>
      <w:pPr>
        <w:spacing w:after="0" w:line="40" w:lineRule="exact"/>
        <w:rPr>
          <w:sz w:val="20"/>
          <w:szCs w:val="20"/>
          <w:color w:val="auto"/>
        </w:rPr>
      </w:pPr>
    </w:p>
    <w:p>
      <w:pPr>
        <w:ind w:left="1052" w:hanging="1052"/>
        <w:spacing w:after="0"/>
        <w:tabs>
          <w:tab w:leader="none" w:pos="1052" w:val="left"/>
        </w:tabs>
        <w:numPr>
          <w:ilvl w:val="0"/>
          <w:numId w:val="9"/>
        </w:numPr>
        <w:rPr>
          <w:rFonts w:ascii="Arial" w:cs="Arial" w:eastAsia="Arial" w:hAnsi="Arial"/>
          <w:sz w:val="15"/>
          <w:szCs w:val="15"/>
          <w:color w:val="auto"/>
        </w:rPr>
      </w:pPr>
      <w:r>
        <w:rPr>
          <w:rFonts w:ascii="Arial" w:cs="Arial" w:eastAsia="Arial" w:hAnsi="Arial"/>
          <w:sz w:val="15"/>
          <w:szCs w:val="15"/>
          <w:color w:val="auto"/>
        </w:rPr>
        <w:t>10,587</w:t>
      </w:r>
    </w:p>
    <w:p>
      <w:pPr>
        <w:spacing w:after="0" w:line="70" w:lineRule="exact"/>
        <w:rPr>
          <w:rFonts w:ascii="Arial" w:cs="Arial" w:eastAsia="Arial" w:hAnsi="Arial"/>
          <w:sz w:val="15"/>
          <w:szCs w:val="15"/>
          <w:color w:val="auto"/>
        </w:rPr>
      </w:pPr>
    </w:p>
    <w:p>
      <w:pPr>
        <w:ind w:left="1132"/>
        <w:spacing w:after="0"/>
        <w:rPr>
          <w:rFonts w:ascii="Arial" w:cs="Arial" w:eastAsia="Arial" w:hAnsi="Arial"/>
          <w:sz w:val="15"/>
          <w:szCs w:val="15"/>
          <w:color w:val="auto"/>
        </w:rPr>
      </w:pPr>
      <w:r>
        <w:rPr>
          <w:rFonts w:ascii="Arial" w:cs="Arial" w:eastAsia="Arial" w:hAnsi="Arial"/>
          <w:sz w:val="15"/>
          <w:szCs w:val="15"/>
          <w:color w:val="auto"/>
        </w:rPr>
        <w:t>9,006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45085</wp:posOffset>
            </wp:positionV>
            <wp:extent cx="993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64" w:lineRule="exact"/>
        <w:rPr>
          <w:sz w:val="20"/>
          <w:szCs w:val="20"/>
          <w:color w:val="auto"/>
        </w:rPr>
      </w:pPr>
    </w:p>
    <w:p>
      <w:pPr>
        <w:ind w:left="1052" w:hanging="1052"/>
        <w:spacing w:after="0"/>
        <w:tabs>
          <w:tab w:leader="none" w:pos="1052" w:val="left"/>
        </w:tabs>
        <w:numPr>
          <w:ilvl w:val="0"/>
          <w:numId w:val="10"/>
        </w:numPr>
        <w:rPr>
          <w:rFonts w:ascii="Arial" w:cs="Arial" w:eastAsia="Arial" w:hAnsi="Arial"/>
          <w:sz w:val="15"/>
          <w:szCs w:val="15"/>
          <w:color w:val="auto"/>
        </w:rPr>
      </w:pPr>
      <w:r>
        <w:rPr>
          <w:rFonts w:ascii="Arial" w:cs="Arial" w:eastAsia="Arial" w:hAnsi="Arial"/>
          <w:sz w:val="15"/>
          <w:szCs w:val="15"/>
          <w:color w:val="auto"/>
        </w:rPr>
        <w:t>19,593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1"/>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31"/>
        <w:spacing w:after="0"/>
        <w:rPr>
          <w:sz w:val="20"/>
          <w:szCs w:val="20"/>
          <w:color w:val="auto"/>
        </w:rPr>
      </w:pPr>
      <w:r>
        <w:rPr>
          <w:rFonts w:ascii="Arial" w:cs="Arial" w:eastAsia="Arial" w:hAnsi="Arial"/>
          <w:sz w:val="18"/>
          <w:szCs w:val="18"/>
          <w:b w:val="1"/>
          <w:bCs w:val="1"/>
          <w:color w:val="auto"/>
        </w:rPr>
        <w:t>December 31,</w:t>
      </w:r>
    </w:p>
    <w:p>
      <w:pPr>
        <w:spacing w:after="0" w:line="17" w:lineRule="exact"/>
        <w:rPr>
          <w:sz w:val="20"/>
          <w:szCs w:val="20"/>
          <w:color w:val="auto"/>
        </w:rPr>
      </w:pPr>
    </w:p>
    <w:p>
      <w:pPr>
        <w:ind w:left="571"/>
        <w:spacing w:after="0"/>
        <w:rPr>
          <w:sz w:val="20"/>
          <w:szCs w:val="20"/>
          <w:color w:val="auto"/>
        </w:rPr>
      </w:pPr>
      <w:r>
        <w:rPr>
          <w:rFonts w:ascii="Arial" w:cs="Arial" w:eastAsia="Arial" w:hAnsi="Arial"/>
          <w:sz w:val="18"/>
          <w:szCs w:val="18"/>
          <w:b w:val="1"/>
          <w:bCs w:val="1"/>
          <w:color w:val="auto"/>
        </w:rPr>
        <w:t>2022</w:t>
      </w:r>
    </w:p>
    <w:p>
      <w:pPr>
        <w:spacing w:after="0" w:line="40" w:lineRule="exact"/>
        <w:rPr>
          <w:sz w:val="20"/>
          <w:szCs w:val="20"/>
          <w:color w:val="auto"/>
        </w:rPr>
      </w:pPr>
    </w:p>
    <w:p>
      <w:pPr>
        <w:ind w:left="1111" w:hanging="1111"/>
        <w:spacing w:after="0"/>
        <w:tabs>
          <w:tab w:leader="none" w:pos="1111" w:val="left"/>
        </w:tabs>
        <w:numPr>
          <w:ilvl w:val="0"/>
          <w:numId w:val="11"/>
        </w:numPr>
        <w:rPr>
          <w:rFonts w:ascii="Arial" w:cs="Arial" w:eastAsia="Arial" w:hAnsi="Arial"/>
          <w:sz w:val="15"/>
          <w:szCs w:val="15"/>
          <w:color w:val="auto"/>
        </w:rPr>
      </w:pPr>
      <w:r>
        <w:rPr>
          <w:rFonts w:ascii="Arial" w:cs="Arial" w:eastAsia="Arial" w:hAnsi="Arial"/>
          <w:sz w:val="15"/>
          <w:szCs w:val="15"/>
          <w:color w:val="auto"/>
        </w:rPr>
        <w:t>9,759</w:t>
      </w:r>
    </w:p>
    <w:p>
      <w:pPr>
        <w:spacing w:after="0" w:line="70" w:lineRule="exact"/>
        <w:rPr>
          <w:rFonts w:ascii="Arial" w:cs="Arial" w:eastAsia="Arial" w:hAnsi="Arial"/>
          <w:sz w:val="15"/>
          <w:szCs w:val="15"/>
          <w:color w:val="auto"/>
        </w:rPr>
      </w:pPr>
    </w:p>
    <w:p>
      <w:pPr>
        <w:ind w:left="1011"/>
        <w:spacing w:after="0"/>
        <w:rPr>
          <w:rFonts w:ascii="Arial" w:cs="Arial" w:eastAsia="Arial" w:hAnsi="Arial"/>
          <w:sz w:val="15"/>
          <w:szCs w:val="15"/>
          <w:color w:val="auto"/>
        </w:rPr>
      </w:pPr>
      <w:r>
        <w:rPr>
          <w:rFonts w:ascii="Arial" w:cs="Arial" w:eastAsia="Arial" w:hAnsi="Arial"/>
          <w:sz w:val="16"/>
          <w:szCs w:val="16"/>
          <w:color w:val="auto"/>
        </w:rPr>
        <w:t>10,576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9759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52" w:lineRule="exact"/>
        <w:rPr>
          <w:sz w:val="20"/>
          <w:szCs w:val="20"/>
          <w:color w:val="auto"/>
        </w:rPr>
      </w:pPr>
    </w:p>
    <w:p>
      <w:pPr>
        <w:ind w:left="1011" w:hanging="1011"/>
        <w:spacing w:after="0"/>
        <w:tabs>
          <w:tab w:leader="none" w:pos="10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20,335</w:t>
      </w:r>
    </w:p>
    <w:p>
      <w:pPr>
        <w:spacing w:after="0" w:line="263" w:lineRule="exact"/>
        <w:rPr>
          <w:sz w:val="20"/>
          <w:szCs w:val="20"/>
          <w:color w:val="auto"/>
        </w:rPr>
      </w:pPr>
    </w:p>
    <w:p>
      <w:pPr>
        <w:sectPr>
          <w:pgSz w:w="11900" w:h="16838" w:orient="portrait"/>
          <w:cols w:equalWidth="0" w:num="3">
            <w:col w:w="7028" w:space="720"/>
            <w:col w:w="1532" w:space="329"/>
            <w:col w:w="1631"/>
          </w:cols>
          <w:pgMar w:left="320" w:top="665"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24"/>
                <w:szCs w:val="24"/>
                <w:color w:val="auto"/>
              </w:rPr>
            </w:pPr>
          </w:p>
        </w:tc>
      </w:tr>
      <w:tr>
        <w:trPr>
          <w:trHeight w:val="234"/>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0"/>
                <w:szCs w:val="20"/>
                <w:color w:val="auto"/>
              </w:rPr>
            </w:pPr>
          </w:p>
        </w:tc>
      </w:tr>
      <w:tr>
        <w:trPr>
          <w:trHeight w:val="250"/>
        </w:trPr>
        <w:tc>
          <w:tcPr>
            <w:tcW w:w="7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hosting</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5,205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employee related taxes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Accrued restructuring and other related charges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sales tax</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Liability from early exercised stock options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Employee Stock Purchase Plan withholding</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r>
      <w:tr>
        <w:trPr>
          <w:trHeight w:val="24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5,933</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200"/>
              <w:spacing w:after="0"/>
              <w:rPr>
                <w:sz w:val="20"/>
                <w:szCs w:val="20"/>
                <w:color w:val="auto"/>
              </w:rPr>
            </w:pPr>
            <w:r>
              <w:rPr>
                <w:rFonts w:ascii="Arial" w:cs="Arial" w:eastAsia="Arial" w:hAnsi="Arial"/>
                <w:sz w:val="18"/>
                <w:szCs w:val="18"/>
                <w:color w:val="auto"/>
              </w:rPr>
              <w:t>Total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27,233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-187960</wp:posOffset>
            </wp:positionV>
            <wp:extent cx="7683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table summarizes, for financial assets measured at fair value, the respective fair value and classification by level of input within the fair value hierarchy (in thousands):</w:t>
      </w:r>
    </w:p>
    <w:p>
      <w:pPr>
        <w:spacing w:after="0" w:line="179"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As of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92"/>
              </w:rPr>
              <w:t>Gross Unrealized</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41"/>
              <w:spacing w:after="0" w:line="146"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196,563</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40"/>
              <w:spacing w:after="0"/>
              <w:rPr>
                <w:sz w:val="20"/>
                <w:szCs w:val="20"/>
                <w:color w:val="auto"/>
              </w:rPr>
            </w:pPr>
            <w:r>
              <w:rPr>
                <w:rFonts w:ascii="Arial" w:cs="Arial" w:eastAsia="Arial" w:hAnsi="Arial"/>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85,928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(597 )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282,491</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281,894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Gross 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41"/>
              <w:spacing w:after="0" w:line="126"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168,730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40"/>
              <w:spacing w:after="0"/>
              <w:rPr>
                <w:sz w:val="20"/>
                <w:szCs w:val="20"/>
                <w:color w:val="auto"/>
              </w:rPr>
            </w:pPr>
            <w:r>
              <w:rPr>
                <w:rFonts w:ascii="Arial" w:cs="Arial" w:eastAsia="Arial" w:hAnsi="Arial"/>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83,942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(754 )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252,672</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-1823085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-1805940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-1823085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-1805940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-1823085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-1805940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-1348105</wp:posOffset>
            </wp:positionV>
            <wp:extent cx="2042160" cy="248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42160" cy="24828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855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80" w:right="220" w:hanging="372"/>
        <w:spacing w:after="0" w:line="252"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“Cash and cash equivalents” in the Company’s condensed consolidated balance sheets as of September 30, 2023 and December 31, 2022, in addition to cash of $42.0 million and $49.8 million, respectively.</w:t>
      </w:r>
    </w:p>
    <w:p>
      <w:pPr>
        <w:spacing w:after="0" w:line="179" w:lineRule="exact"/>
        <w:rPr>
          <w:sz w:val="20"/>
          <w:szCs w:val="20"/>
          <w:color w:val="auto"/>
        </w:rPr>
      </w:pPr>
    </w:p>
    <w:p>
      <w:pPr>
        <w:ind w:right="280" w:firstLine="509"/>
        <w:spacing w:after="0" w:line="341" w:lineRule="auto"/>
        <w:rPr>
          <w:sz w:val="20"/>
          <w:szCs w:val="20"/>
          <w:color w:val="auto"/>
        </w:rPr>
      </w:pPr>
      <w:r>
        <w:rPr>
          <w:rFonts w:ascii="Arial" w:cs="Arial" w:eastAsia="Arial" w:hAnsi="Arial"/>
          <w:sz w:val="16"/>
          <w:szCs w:val="16"/>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124"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fair value of the Company's available-for-sale securities as of September 30, 2023, by remaining contractual maturities, was as follows (in thousands):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As of September 30,</w:t>
            </w:r>
          </w:p>
        </w:tc>
        <w:tc>
          <w:tcPr>
            <w:tcW w:w="100" w:type="dxa"/>
            <w:vAlign w:val="bottom"/>
          </w:tcPr>
          <w:p>
            <w:pPr>
              <w:spacing w:after="0"/>
              <w:rPr>
                <w:sz w:val="18"/>
                <w:szCs w:val="18"/>
                <w:color w:val="auto"/>
              </w:rPr>
            </w:pPr>
          </w:p>
        </w:tc>
      </w:tr>
      <w:tr>
        <w:trPr>
          <w:trHeight w:val="241"/>
        </w:trPr>
        <w:tc>
          <w:tcPr>
            <w:tcW w:w="9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43"/>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one year or less</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82,952</w:t>
            </w:r>
          </w:p>
        </w:tc>
        <w:tc>
          <w:tcPr>
            <w:tcW w:w="100" w:type="dxa"/>
            <w:vAlign w:val="bottom"/>
            <w:shd w:val="clear" w:color="auto" w:fill="CFF0FC"/>
          </w:tcPr>
          <w:p>
            <w:pPr>
              <w:spacing w:after="0"/>
              <w:rPr>
                <w:sz w:val="21"/>
                <w:szCs w:val="2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Due in greater than one year</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r>
      <w:tr>
        <w:trPr>
          <w:trHeight w:val="276"/>
        </w:trPr>
        <w:tc>
          <w:tcPr>
            <w:tcW w:w="9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300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 Assets Other Than Goodwill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5820" w:type="dxa"/>
            <w:vAlign w:val="bottom"/>
            <w:gridSpan w:val="7"/>
          </w:tcPr>
          <w:p>
            <w:pPr>
              <w:ind w:left="160"/>
              <w:spacing w:after="0"/>
              <w:rPr>
                <w:sz w:val="20"/>
                <w:szCs w:val="20"/>
                <w:color w:val="auto"/>
              </w:rPr>
            </w:pPr>
            <w:r>
              <w:rPr>
                <w:rFonts w:ascii="Arial" w:cs="Arial" w:eastAsia="Arial" w:hAnsi="Arial"/>
                <w:sz w:val="18"/>
                <w:szCs w:val="18"/>
                <w:color w:val="auto"/>
              </w:rPr>
              <w:t>Intangible assets, net consisted of the following (in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797"/>
              <w:spacing w:after="0"/>
              <w:rPr>
                <w:sz w:val="20"/>
                <w:szCs w:val="20"/>
                <w:color w:val="auto"/>
              </w:rPr>
            </w:pPr>
            <w:r>
              <w:rPr>
                <w:rFonts w:ascii="Arial" w:cs="Arial" w:eastAsia="Arial" w:hAnsi="Arial"/>
                <w:sz w:val="18"/>
                <w:szCs w:val="18"/>
                <w:b w:val="1"/>
                <w:bCs w:val="1"/>
                <w:color w:val="auto"/>
              </w:rPr>
              <w:t>As of September 30, 2023</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jc w:val="right"/>
              <w:ind w:right="777"/>
              <w:spacing w:after="0"/>
              <w:rPr>
                <w:sz w:val="20"/>
                <w:szCs w:val="20"/>
                <w:color w:val="auto"/>
              </w:rPr>
            </w:pPr>
            <w:r>
              <w:rPr>
                <w:rFonts w:ascii="Arial" w:cs="Arial" w:eastAsia="Arial" w:hAnsi="Arial"/>
                <w:sz w:val="18"/>
                <w:szCs w:val="18"/>
                <w:b w:val="1"/>
                <w:bCs w:val="1"/>
                <w:color w:val="auto"/>
              </w:rPr>
              <w:t>As of December 31,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8"/>
              <w:spacing w:after="0" w:line="139"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Net Carrying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Net 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3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(5,019 )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(4,153 )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Customer related</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(536 )</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(306 )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3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Amortization expense of intangible assets was $0.3 million and $1.1 million for the three and nine months ended September 30, 2023, respectively, and $0.5 million and $1.5 million for the three and nine months ended September 30, 2022,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Arial" w:cs="Arial" w:eastAsia="Arial" w:hAnsi="Arial"/>
                <w:sz w:val="18"/>
                <w:szCs w:val="18"/>
                <w:color w:val="auto"/>
              </w:rPr>
              <w:t>As of September 30, 2023, future amortization expense is expected to be as follows (in thousands):</w:t>
            </w: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4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9"/>
        </w:trPr>
        <w:tc>
          <w:tcPr>
            <w:tcW w:w="9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Pr>
          <w:p>
            <w:pPr>
              <w:ind w:left="20"/>
              <w:spacing w:after="0"/>
              <w:rPr>
                <w:sz w:val="20"/>
                <w:szCs w:val="20"/>
                <w:color w:val="auto"/>
              </w:rPr>
            </w:pPr>
            <w:r>
              <w:rPr>
                <w:rFonts w:ascii="Arial" w:cs="Arial" w:eastAsia="Arial" w:hAnsi="Arial"/>
                <w:sz w:val="18"/>
                <w:szCs w:val="18"/>
                <w:color w:val="auto"/>
                <w:w w:val="99"/>
              </w:rPr>
              <w:t>2024</w:t>
            </w:r>
          </w:p>
        </w:tc>
        <w:tc>
          <w:tcPr>
            <w:tcW w:w="8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2025</w:t>
            </w:r>
          </w:p>
        </w:tc>
        <w:tc>
          <w:tcPr>
            <w:tcW w:w="87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40" w:type="dxa"/>
            <w:vAlign w:val="bottom"/>
          </w:tcPr>
          <w:p>
            <w:pPr>
              <w:ind w:left="20"/>
              <w:spacing w:after="0"/>
              <w:rPr>
                <w:sz w:val="20"/>
                <w:szCs w:val="20"/>
                <w:color w:val="auto"/>
              </w:rPr>
            </w:pPr>
            <w:r>
              <w:rPr>
                <w:rFonts w:ascii="Arial" w:cs="Arial" w:eastAsia="Arial" w:hAnsi="Arial"/>
                <w:sz w:val="18"/>
                <w:szCs w:val="18"/>
                <w:color w:val="auto"/>
                <w:w w:val="99"/>
              </w:rPr>
              <w:t>2026</w:t>
            </w:r>
          </w:p>
        </w:tc>
        <w:tc>
          <w:tcPr>
            <w:tcW w:w="8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2027</w:t>
            </w:r>
          </w:p>
        </w:tc>
        <w:tc>
          <w:tcPr>
            <w:tcW w:w="8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922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8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Stockholders’ Equity and Equity Incentive Plans</w:t>
            </w: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0" w:type="dxa"/>
            <w:vAlign w:val="bottom"/>
            <w:vMerge w:val="continue"/>
          </w:tcPr>
          <w:p>
            <w:pPr>
              <w:spacing w:after="0"/>
              <w:rPr>
                <w:sz w:val="24"/>
                <w:szCs w:val="24"/>
                <w:color w:val="auto"/>
              </w:rPr>
            </w:pPr>
          </w:p>
        </w:tc>
        <w:tc>
          <w:tcPr>
            <w:tcW w:w="8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9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ectPr>
          <w:pgSz w:w="11900" w:h="16838" w:orient="portrait"/>
          <w:cols w:equalWidth="0" w:num="1">
            <w:col w:w="11220"/>
          </w:cols>
          <w:pgMar w:left="320" w:top="557" w:right="359" w:bottom="1440" w:gutter="0" w:footer="0" w:header="0"/>
        </w:sectPr>
      </w:pP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Equity plan stock options outstanding</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available for future issuance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reserved shares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and Grant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13970</wp:posOffset>
            </wp:positionV>
            <wp:extent cx="11645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14,941,912</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11,661,484</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18,268,935</w:t>
      </w:r>
    </w:p>
    <w:p>
      <w:pPr>
        <w:spacing w:after="0" w:line="30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4,251,616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38100</wp:posOffset>
            </wp:positionV>
            <wp:extent cx="11645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49,123,947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13970</wp:posOffset>
            </wp:positionV>
            <wp:extent cx="10617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16,767,752</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9,914,125</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16,774,634</w:t>
      </w:r>
    </w:p>
    <w:p>
      <w:pPr>
        <w:spacing w:after="0" w:line="27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3,411,791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23495</wp:posOffset>
            </wp:positionV>
            <wp:extent cx="1061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46,868,302</w:t>
      </w:r>
    </w:p>
    <w:p>
      <w:pPr>
        <w:spacing w:after="0" w:line="1060" w:lineRule="exact"/>
        <w:rPr>
          <w:sz w:val="20"/>
          <w:szCs w:val="20"/>
          <w:color w:val="auto"/>
        </w:rPr>
      </w:pPr>
    </w:p>
    <w:p>
      <w:pPr>
        <w:sectPr>
          <w:pgSz w:w="11900" w:h="16838" w:orient="portrait"/>
          <w:cols w:equalWidth="0" w:num="3">
            <w:col w:w="7040" w:space="720"/>
            <w:col w:w="1460" w:space="540"/>
            <w:col w:w="1460"/>
          </w:cols>
          <w:pgMar w:left="320" w:top="557" w:right="359" w:bottom="1440" w:gutter="0" w:footer="0" w:header="0"/>
          <w:type w:val="continuous"/>
        </w:sectPr>
      </w:pPr>
    </w:p>
    <w:p>
      <w:pPr>
        <w:ind w:right="20" w:firstLine="509"/>
        <w:spacing w:after="0" w:line="270" w:lineRule="auto"/>
        <w:rPr>
          <w:sz w:val="20"/>
          <w:szCs w:val="20"/>
          <w:color w:val="auto"/>
        </w:rPr>
      </w:pPr>
      <w:r>
        <w:rPr>
          <w:rFonts w:ascii="Arial" w:cs="Arial" w:eastAsia="Arial" w:hAnsi="Arial"/>
          <w:sz w:val="17"/>
          <w:szCs w:val="17"/>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September 30, 2023, a total of 18,268,935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Stock Option Awards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Stock options granted under the 2014 Plan and the 2021 Plan (collectively, the “combined stock plans”) generally vest based on continued service over four years.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 activity under the Company's combined stock plans for the nine months ended September 30, 2023 is set forth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5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21"/>
                <w:szCs w:val="21"/>
                <w:color w:val="auto"/>
              </w:rPr>
            </w:pPr>
          </w:p>
        </w:tc>
      </w:tr>
      <w:tr>
        <w:trPr>
          <w:trHeight w:val="243"/>
        </w:trPr>
        <w:tc>
          <w:tcPr>
            <w:tcW w:w="550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intrinsic</w:t>
            </w:r>
          </w:p>
        </w:tc>
        <w:tc>
          <w:tcPr>
            <w:tcW w:w="100" w:type="dxa"/>
            <w:vAlign w:val="bottom"/>
          </w:tcPr>
          <w:p>
            <w:pPr>
              <w:spacing w:after="0"/>
              <w:rPr>
                <w:sz w:val="21"/>
                <w:szCs w:val="21"/>
                <w:color w:val="auto"/>
              </w:rPr>
            </w:pPr>
          </w:p>
        </w:tc>
      </w:tr>
      <w:tr>
        <w:trPr>
          <w:trHeight w:val="243"/>
        </w:trPr>
        <w:tc>
          <w:tcPr>
            <w:tcW w:w="550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stock</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exercise</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contractual</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1"/>
                <w:szCs w:val="21"/>
                <w:color w:val="auto"/>
              </w:rPr>
            </w:pPr>
          </w:p>
        </w:tc>
      </w:tr>
      <w:tr>
        <w:trPr>
          <w:trHeight w:val="250"/>
        </w:trPr>
        <w:tc>
          <w:tcPr>
            <w:tcW w:w="55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price</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40" w:type="dxa"/>
            <w:vAlign w:val="bottom"/>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1"/>
                <w:szCs w:val="21"/>
                <w:color w:val="auto"/>
              </w:rPr>
            </w:pPr>
          </w:p>
        </w:tc>
      </w:tr>
      <w:tr>
        <w:trPr>
          <w:trHeight w:val="24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as of December 31, 2022</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16,767,752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132,298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425,352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(1,310,414 )</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(940,778 )</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500" w:type="dxa"/>
            <w:vAlign w:val="bottom"/>
            <w:tcBorders>
              <w:bottom w:val="single" w:sz="8" w:color="CFF0FC"/>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Balances as of September 30, 2023</w:t>
            </w:r>
            <w:r>
              <w:rPr>
                <w:rFonts w:ascii="Arial" w:cs="Arial" w:eastAsia="Arial" w:hAnsi="Arial"/>
                <w:sz w:val="24"/>
                <w:szCs w:val="24"/>
                <w:color w:val="auto"/>
                <w:vertAlign w:val="superscript"/>
              </w:rPr>
              <w:t>(1)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14,941,912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107,673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500" w:type="dxa"/>
            <w:vAlign w:val="bottom"/>
          </w:tcPr>
          <w:p>
            <w:pPr>
              <w:ind w:left="20"/>
              <w:spacing w:after="0" w:line="224" w:lineRule="exact"/>
              <w:rPr>
                <w:sz w:val="20"/>
                <w:szCs w:val="20"/>
                <w:color w:val="auto"/>
              </w:rPr>
            </w:pPr>
            <w:r>
              <w:rPr>
                <w:rFonts w:ascii="Arial" w:cs="Arial" w:eastAsia="Arial" w:hAnsi="Arial"/>
                <w:sz w:val="18"/>
                <w:szCs w:val="18"/>
                <w:color w:val="auto"/>
              </w:rPr>
              <w:t>Exercisable as of September 30, 2023</w:t>
            </w:r>
            <w:r>
              <w:rPr>
                <w:rFonts w:ascii="Arial" w:cs="Arial" w:eastAsia="Arial" w:hAnsi="Arial"/>
                <w:sz w:val="24"/>
                <w:szCs w:val="24"/>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12,693,443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100,956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-838200</wp:posOffset>
            </wp:positionV>
            <wp:extent cx="7683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-205105</wp:posOffset>
            </wp:positionV>
            <wp:extent cx="7683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4" w:lineRule="exact"/>
        <w:rPr>
          <w:sz w:val="20"/>
          <w:szCs w:val="20"/>
          <w:color w:val="auto"/>
        </w:rPr>
      </w:pPr>
    </w:p>
    <w:p>
      <w:pPr>
        <w:ind w:left="380" w:right="80" w:hanging="372"/>
        <w:spacing w:after="0" w:line="230"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no forfeitures are estimated due to the Company’s adoption of ASU No. 2016-09, all options are vested or expected to vest. As of September 30, 2023, no options were outstanding that were subject to a future performance condition.</w:t>
      </w: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Exercisable shares include vested options as well as unvested shares that can be early exercised.</w:t>
      </w:r>
    </w:p>
    <w:p>
      <w:pPr>
        <w:spacing w:after="0" w:line="195"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nine months ended September 30, 2023 and 2022 was $11.6 million and $28.4 million, respectively.</w:t>
      </w:r>
    </w:p>
    <w:p>
      <w:pPr>
        <w:spacing w:after="0" w:line="183"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Stock options granted during the nine months ended September 30, 2023 and 2022 had a weighted average grant date fair value of $6.69 per share and $8.27 per share, respectively. The fair value of options granted is being expensed over the vesting period of the options on a straight-line basis as the services are being provided. No tax benefits were realized from options during the periods.</w:t>
      </w:r>
    </w:p>
    <w:p>
      <w:pPr>
        <w:spacing w:after="0" w:line="183"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As of September 30, 2023, total unrecognized stock-based compensation expense related to options outstanding under the combined stock plans was $13.7 million. This unrecognized expense as of September 30, 2023 is expected to be recognized over the weighted average remaining vesting period of 2.38 years. As of September 30, 2023, the Company had 342,000 shares of non-employee stock options outstanding under the combined stock plans.</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fair value of each option granted to employees under the 2021 Plan is estimated on the grant date using the Black-Scholes pricing model.</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and nine months ended September 30, 2023, the Company recorded $20.7 million and $55.9 million in stock-based compensation expense related to RSUs, respectively. During the three and nine months ended September 30, 2022, the Company recorded $13.5 million and $29.8 million in stock-based compensation expense related to RSUs, respectively.</w:t>
      </w:r>
    </w:p>
    <w:p>
      <w:pPr>
        <w:spacing w:after="0" w:line="16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of September 30, 2023, total unrecognized stock-based compensation expense related to RSUs was $161.3 million. This unrecognized expense as of September 30, 2023 is expected to be recognized over the weighted average remaining vesting period of 2.25 years. As of September 30, 2023, the Company had 176,205 shares of non-employee RSUs outstanding under the combined stock plans.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6"/>
          <w:szCs w:val="16"/>
          <w:color w:val="auto"/>
        </w:rPr>
        <w:t>RSU activity during the nine months ended September 30, 2023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0"/>
        <w:spacing w:after="0"/>
        <w:rPr>
          <w:sz w:val="20"/>
          <w:szCs w:val="20"/>
          <w:color w:val="auto"/>
        </w:rPr>
      </w:pPr>
      <w:r>
        <w:rPr>
          <w:rFonts w:ascii="Arial" w:cs="Arial" w:eastAsia="Arial" w:hAnsi="Arial"/>
          <w:sz w:val="15"/>
          <w:szCs w:val="15"/>
          <w:b w:val="1"/>
          <w:bCs w:val="1"/>
          <w:color w:val="auto"/>
        </w:rPr>
        <w:t>Restricted stock</w:t>
      </w:r>
    </w:p>
    <w:p>
      <w:pPr>
        <w:spacing w:after="0" w:line="6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13970</wp:posOffset>
            </wp:positionV>
            <wp:extent cx="11645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9,914,125</w:t>
      </w:r>
    </w:p>
    <w:p>
      <w:pPr>
        <w:jc w:val="right"/>
        <w:spacing w:after="0"/>
        <w:rPr>
          <w:sz w:val="20"/>
          <w:szCs w:val="20"/>
          <w:color w:val="auto"/>
        </w:rPr>
      </w:pPr>
      <w:r>
        <w:rPr>
          <w:rFonts w:ascii="Arial" w:cs="Arial" w:eastAsia="Arial" w:hAnsi="Arial"/>
          <w:sz w:val="18"/>
          <w:szCs w:val="18"/>
          <w:color w:val="auto"/>
        </w:rPr>
        <w:t>7,400,541</w:t>
      </w:r>
      <w:r>
        <w:rPr>
          <w:sz w:val="1"/>
          <w:szCs w:val="1"/>
          <w:color w:val="auto"/>
        </w:rPr>
        <w:drawing>
          <wp:inline distT="0" distB="0" distL="0" distR="0">
            <wp:extent cx="68580" cy="1524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52400"/>
                    </a:xfrm>
                    <a:prstGeom prst="rect">
                      <a:avLst/>
                    </a:prstGeom>
                    <a:noFill/>
                    <a:ln>
                      <a:noFill/>
                    </a:ln>
                  </pic:spPr>
                </pic:pic>
              </a:graphicData>
            </a:graphic>
          </wp:inline>
        </w:drawing>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(3,446,063 )</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(2,207,119 )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38100</wp:posOffset>
            </wp:positionV>
            <wp:extent cx="11645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11,661,484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99" w:right="220" w:hanging="105"/>
        <w:spacing w:after="0" w:line="306" w:lineRule="auto"/>
        <w:rPr>
          <w:sz w:val="20"/>
          <w:szCs w:val="20"/>
          <w:color w:val="auto"/>
        </w:rPr>
      </w:pPr>
      <w:r>
        <w:rPr>
          <w:rFonts w:ascii="Arial" w:cs="Arial" w:eastAsia="Arial" w:hAnsi="Arial"/>
          <w:sz w:val="16"/>
          <w:szCs w:val="16"/>
          <w:b w:val="1"/>
          <w:bCs w:val="1"/>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10191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1179" w:hanging="1179"/>
        <w:spacing w:after="0"/>
        <w:tabs>
          <w:tab w:leader="none" w:pos="1179" w:val="left"/>
        </w:tabs>
        <w:numPr>
          <w:ilvl w:val="0"/>
          <w:numId w:val="16"/>
        </w:numPr>
        <w:rPr>
          <w:rFonts w:ascii="Arial" w:cs="Arial" w:eastAsia="Arial" w:hAnsi="Arial"/>
          <w:sz w:val="15"/>
          <w:szCs w:val="15"/>
          <w:color w:val="auto"/>
        </w:rPr>
      </w:pPr>
      <w:r>
        <w:rPr>
          <w:rFonts w:ascii="Arial" w:cs="Arial" w:eastAsia="Arial" w:hAnsi="Arial"/>
          <w:sz w:val="15"/>
          <w:szCs w:val="15"/>
          <w:color w:val="auto"/>
        </w:rPr>
        <w:t>19.14</w:t>
      </w:r>
    </w:p>
    <w:p>
      <w:pPr>
        <w:spacing w:after="0" w:line="70" w:lineRule="exact"/>
        <w:rPr>
          <w:rFonts w:ascii="Arial" w:cs="Arial" w:eastAsia="Arial" w:hAnsi="Arial"/>
          <w:sz w:val="15"/>
          <w:szCs w:val="15"/>
          <w:color w:val="auto"/>
        </w:rPr>
      </w:pPr>
    </w:p>
    <w:p>
      <w:pPr>
        <w:ind w:left="1179"/>
        <w:spacing w:after="0"/>
        <w:rPr>
          <w:rFonts w:ascii="Arial" w:cs="Arial" w:eastAsia="Arial" w:hAnsi="Arial"/>
          <w:sz w:val="15"/>
          <w:szCs w:val="15"/>
          <w:color w:val="auto"/>
        </w:rPr>
      </w:pPr>
      <w:r>
        <w:rPr>
          <w:rFonts w:ascii="Arial" w:cs="Arial" w:eastAsia="Arial" w:hAnsi="Arial"/>
          <w:sz w:val="15"/>
          <w:szCs w:val="15"/>
          <w:color w:val="auto"/>
        </w:rPr>
        <w:t>12.09</w:t>
      </w:r>
    </w:p>
    <w:p>
      <w:pPr>
        <w:spacing w:after="0" w:line="70" w:lineRule="exact"/>
        <w:rPr>
          <w:rFonts w:ascii="Arial" w:cs="Arial" w:eastAsia="Arial" w:hAnsi="Arial"/>
          <w:sz w:val="15"/>
          <w:szCs w:val="15"/>
          <w:color w:val="auto"/>
        </w:rPr>
      </w:pPr>
    </w:p>
    <w:p>
      <w:pPr>
        <w:ind w:left="1179"/>
        <w:spacing w:after="0"/>
        <w:rPr>
          <w:rFonts w:ascii="Arial" w:cs="Arial" w:eastAsia="Arial" w:hAnsi="Arial"/>
          <w:sz w:val="15"/>
          <w:szCs w:val="15"/>
          <w:color w:val="auto"/>
        </w:rPr>
      </w:pPr>
      <w:r>
        <w:rPr>
          <w:rFonts w:ascii="Arial" w:cs="Arial" w:eastAsia="Arial" w:hAnsi="Arial"/>
          <w:sz w:val="15"/>
          <w:szCs w:val="15"/>
          <w:color w:val="auto"/>
        </w:rPr>
        <w:t>17.66</w:t>
      </w:r>
    </w:p>
    <w:p>
      <w:pPr>
        <w:spacing w:after="0" w:line="83" w:lineRule="exact"/>
        <w:rPr>
          <w:rFonts w:ascii="Arial" w:cs="Arial" w:eastAsia="Arial" w:hAnsi="Arial"/>
          <w:sz w:val="15"/>
          <w:szCs w:val="15"/>
          <w:color w:val="auto"/>
        </w:rPr>
      </w:pPr>
    </w:p>
    <w:p>
      <w:pPr>
        <w:ind w:left="1179"/>
        <w:spacing w:after="0"/>
        <w:rPr>
          <w:rFonts w:ascii="Arial" w:cs="Arial" w:eastAsia="Arial" w:hAnsi="Arial"/>
          <w:sz w:val="15"/>
          <w:szCs w:val="15"/>
          <w:color w:val="auto"/>
        </w:rPr>
      </w:pPr>
      <w:r>
        <w:rPr>
          <w:rFonts w:ascii="Arial" w:cs="Arial" w:eastAsia="Arial" w:hAnsi="Arial"/>
          <w:sz w:val="15"/>
          <w:szCs w:val="15"/>
          <w:color w:val="auto"/>
        </w:rPr>
        <w:t>18.40</w:t>
      </w:r>
    </w:p>
    <w:p>
      <w:pPr>
        <w:spacing w:after="0" w:line="111" w:lineRule="exact"/>
        <w:rPr>
          <w:sz w:val="20"/>
          <w:szCs w:val="20"/>
          <w:color w:val="auto"/>
        </w:rPr>
      </w:pPr>
    </w:p>
    <w:p>
      <w:pPr>
        <w:ind w:left="1179" w:hanging="1179"/>
        <w:spacing w:after="0"/>
        <w:tabs>
          <w:tab w:leader="none" w:pos="1179" w:val="left"/>
        </w:tabs>
        <w:numPr>
          <w:ilvl w:val="0"/>
          <w:numId w:val="17"/>
        </w:numPr>
        <w:rPr>
          <w:rFonts w:ascii="Arial" w:cs="Arial" w:eastAsia="Arial" w:hAnsi="Arial"/>
          <w:sz w:val="15"/>
          <w:szCs w:val="15"/>
          <w:color w:val="auto"/>
        </w:rPr>
      </w:pPr>
      <w:r>
        <w:rPr>
          <w:rFonts w:ascii="Arial" w:cs="Arial" w:eastAsia="Arial" w:hAnsi="Arial"/>
          <w:sz w:val="15"/>
          <w:szCs w:val="15"/>
          <w:color w:val="auto"/>
        </w:rPr>
        <w:t>15.24</w:t>
      </w:r>
    </w:p>
    <w:p>
      <w:pPr>
        <w:spacing w:after="0" w:line="731" w:lineRule="exact"/>
        <w:rPr>
          <w:sz w:val="20"/>
          <w:szCs w:val="20"/>
          <w:color w:val="auto"/>
        </w:rPr>
      </w:pPr>
    </w:p>
    <w:p>
      <w:pPr>
        <w:sectPr>
          <w:pgSz w:w="11900" w:h="16838" w:orient="portrait"/>
          <w:cols w:equalWidth="0" w:num="3">
            <w:col w:w="7000" w:space="720"/>
            <w:col w:w="1640" w:space="181"/>
            <w:col w:w="1699"/>
          </w:cols>
          <w:pgMar w:left="320" w:top="557" w:right="339" w:bottom="1440" w:gutter="0" w:footer="0" w:header="0"/>
        </w:sectPr>
      </w:pPr>
    </w:p>
    <w:p>
      <w:pPr>
        <w:ind w:right="60" w:firstLine="509"/>
        <w:spacing w:after="0" w:line="288" w:lineRule="auto"/>
        <w:rPr>
          <w:sz w:val="20"/>
          <w:szCs w:val="20"/>
          <w:color w:val="auto"/>
        </w:rPr>
      </w:pPr>
      <w:r>
        <w:rPr>
          <w:rFonts w:ascii="Arial" w:cs="Arial" w:eastAsia="Arial" w:hAnsi="Arial"/>
          <w:sz w:val="16"/>
          <w:szCs w:val="16"/>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September 30, 2023, a total of 4,251,616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63"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initial offering period under the ESPP was longer than 12 months, commencing on September 28, 2021 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each purchase period since the initial purchase period on May 14, 2022, the corresponding offering periods were terminated and participants were automatically enrolled in a new 12-month offering period. The impact of the rollover feature did not result in material incremental compensation cost for the nine months ended September 30, 2023.</w:t>
      </w:r>
    </w:p>
    <w:p>
      <w:pPr>
        <w:spacing w:after="0" w:line="16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As of September 30, 2023, 0.7 million shares have been purchased under the ESPP. During the three and nine months ended September 30, 2023, the Company recognized $0.6 million and $1.9 million of stock-based compensation expense related to the ESPP, respectively. During the three and nine months ended September 30, 2022, the Company recognized $1.5 million and $4.5 million of stock-based compensation expense related to the ESPP, respectively. As of September 30, 2023, total unrecognized compensation cost related to the ESPP was $1.3 million, which will be amortized over a weighted average period of 0.49 years.</w:t>
      </w:r>
    </w:p>
    <w:p>
      <w:pPr>
        <w:spacing w:after="0" w:line="19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Stock-based compensation expense, net of actual forfeitures is reflected in the condensed consolidated statements of operations and comprehensive loss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50"/>
        </w:trPr>
        <w:tc>
          <w:tcPr>
            <w:tcW w:w="4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540" w:type="dxa"/>
            <w:vAlign w:val="bottom"/>
            <w:gridSpan w:val="2"/>
            <w:shd w:val="clear" w:color="auto" w:fill="CFF0FC"/>
          </w:tcPr>
          <w:p>
            <w:pPr>
              <w:jc w:val="center"/>
              <w:ind w:left="9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5,426</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100" w:type="dxa"/>
            <w:vAlign w:val="bottom"/>
            <w:shd w:val="clear" w:color="auto" w:fill="CFF0FC"/>
          </w:tcPr>
          <w:p>
            <w:pPr>
              <w:spacing w:after="0"/>
              <w:rPr>
                <w:sz w:val="21"/>
                <w:szCs w:val="21"/>
                <w:color w:val="auto"/>
              </w:rPr>
            </w:pP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27,173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shd w:val="clear" w:color="auto" w:fill="CFF0FC"/>
          </w:tcPr>
          <w:p>
            <w:pPr>
              <w:spacing w:after="0"/>
              <w:rPr>
                <w:sz w:val="21"/>
                <w:szCs w:val="21"/>
                <w:color w:val="auto"/>
              </w:rPr>
            </w:pP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20"/>
                <w:szCs w:val="20"/>
                <w:color w:val="auto"/>
              </w:rPr>
            </w:pPr>
          </w:p>
        </w:tc>
      </w:tr>
      <w:tr>
        <w:trPr>
          <w:trHeight w:val="24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1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4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tcPr>
          <w:p>
            <w:pPr>
              <w:spacing w:after="0"/>
              <w:rPr>
                <w:sz w:val="20"/>
                <w:szCs w:val="20"/>
                <w:color w:val="auto"/>
              </w:rPr>
            </w:pPr>
          </w:p>
        </w:tc>
        <w:tc>
          <w:tcPr>
            <w:tcW w:w="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23,085</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18,492</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65,005</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46,831</w:t>
            </w:r>
          </w:p>
        </w:tc>
        <w:tc>
          <w:tcPr>
            <w:tcW w:w="10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340" w:type="dxa"/>
            <w:vAlign w:val="bottom"/>
          </w:tcPr>
          <w:p>
            <w:pPr>
              <w:spacing w:after="0"/>
              <w:rPr>
                <w:sz w:val="24"/>
                <w:szCs w:val="24"/>
                <w:color w:val="auto"/>
              </w:rPr>
            </w:pPr>
          </w:p>
        </w:tc>
        <w:tc>
          <w:tcPr>
            <w:tcW w:w="154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18</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-615950</wp:posOffset>
            </wp:positionV>
            <wp:extent cx="7683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-615950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-615950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8" w:name="page19"/>
    <w:bookmarkEnd w:id="18"/>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The Company had an effective tax rate of (1.5)% and (1.0)% for the three and nine months ended September 30, 2023, respectively, and 0.9% and (0.6)% for the three and nine months ended September 30, 2022, respectively. The Company continues to incur U.S. operating losses and has minimal profits in its foreign jurisdictions.</w:t>
      </w:r>
    </w:p>
    <w:p>
      <w:pPr>
        <w:spacing w:after="0" w:line="183"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7"/>
          <w:szCs w:val="17"/>
          <w:color w:val="auto"/>
        </w:rPr>
        <w:t>During the three and nine months ended September 30, 2023 and 2022, the Company evaluated all available evidence, both positive and negative, including historical levels of income, and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7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related to operating leases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8"/>
                <w:szCs w:val="18"/>
                <w:color w:val="auto"/>
              </w:rPr>
            </w:pPr>
          </w:p>
        </w:tc>
      </w:tr>
      <w:tr>
        <w:trPr>
          <w:trHeight w:val="234"/>
        </w:trPr>
        <w:tc>
          <w:tcPr>
            <w:tcW w:w="9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50"/>
        </w:trPr>
        <w:tc>
          <w:tcPr>
            <w:tcW w:w="9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1"/>
                <w:szCs w:val="21"/>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21"/>
                <w:szCs w:val="21"/>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included in the Company’s lease liabilities as of September 30, 2023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Remainder of 2023</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2026</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21"/>
                <w:szCs w:val="21"/>
                <w:color w:val="auto"/>
              </w:rPr>
            </w:pPr>
          </w:p>
        </w:tc>
      </w:tr>
      <w:tr>
        <w:trPr>
          <w:trHeight w:val="243"/>
        </w:trPr>
        <w:tc>
          <w:tcPr>
            <w:tcW w:w="9220" w:type="dxa"/>
            <w:vAlign w:val="bottom"/>
          </w:tcPr>
          <w:p>
            <w:pPr>
              <w:ind w:left="200"/>
              <w:spacing w:after="0"/>
              <w:rPr>
                <w:sz w:val="20"/>
                <w:szCs w:val="20"/>
                <w:color w:val="auto"/>
              </w:rPr>
            </w:pPr>
            <w:r>
              <w:rPr>
                <w:rFonts w:ascii="Arial" w:cs="Arial" w:eastAsia="Arial" w:hAnsi="Arial"/>
                <w:sz w:val="18"/>
                <w:szCs w:val="18"/>
                <w:color w:val="auto"/>
              </w:rPr>
              <w:t>2027 and thereafter</w:t>
            </w:r>
          </w:p>
        </w:tc>
        <w:tc>
          <w:tcPr>
            <w:tcW w:w="8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9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undiscounted operating lease payments</w:t>
            </w: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100" w:type="dxa"/>
            <w:vAlign w:val="bottom"/>
            <w:shd w:val="clear" w:color="auto" w:fill="CFF0FC"/>
          </w:tcPr>
          <w:p>
            <w:pPr>
              <w:spacing w:after="0"/>
              <w:rPr>
                <w:sz w:val="20"/>
                <w:szCs w:val="20"/>
                <w:color w:val="auto"/>
              </w:rPr>
            </w:pPr>
          </w:p>
        </w:tc>
      </w:tr>
      <w:tr>
        <w:trPr>
          <w:trHeight w:val="243"/>
        </w:trPr>
        <w:tc>
          <w:tcPr>
            <w:tcW w:w="9220" w:type="dxa"/>
            <w:vAlign w:val="bottom"/>
          </w:tcPr>
          <w:p>
            <w:pPr>
              <w:ind w:left="200"/>
              <w:spacing w:after="0"/>
              <w:rPr>
                <w:sz w:val="20"/>
                <w:szCs w:val="20"/>
                <w:color w:val="auto"/>
              </w:rPr>
            </w:pPr>
            <w:r>
              <w:rPr>
                <w:rFonts w:ascii="Arial" w:cs="Arial" w:eastAsia="Arial" w:hAnsi="Arial"/>
                <w:sz w:val="18"/>
                <w:szCs w:val="18"/>
                <w:color w:val="auto"/>
              </w:rPr>
              <w:t>Less: imputed interest</w:t>
            </w:r>
          </w:p>
        </w:tc>
        <w:tc>
          <w:tcPr>
            <w:tcW w:w="8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(290 )</w:t>
            </w:r>
          </w:p>
        </w:tc>
      </w:tr>
      <w:tr>
        <w:trPr>
          <w:trHeight w:val="276"/>
        </w:trPr>
        <w:tc>
          <w:tcPr>
            <w:tcW w:w="9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lease liabilities</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220" w:firstLine="509"/>
        <w:spacing w:after="0" w:line="254" w:lineRule="auto"/>
        <w:rPr>
          <w:sz w:val="20"/>
          <w:szCs w:val="20"/>
          <w:color w:val="auto"/>
        </w:rPr>
      </w:pPr>
      <w:r>
        <w:rPr>
          <w:rFonts w:ascii="Arial" w:cs="Arial" w:eastAsia="Arial" w:hAnsi="Arial"/>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9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right="80" w:firstLine="509"/>
        <w:spacing w:after="0" w:line="286" w:lineRule="auto"/>
        <w:rPr>
          <w:sz w:val="20"/>
          <w:szCs w:val="20"/>
          <w:color w:val="auto"/>
        </w:rPr>
      </w:pPr>
      <w:r>
        <w:rPr>
          <w:rFonts w:ascii="Arial" w:cs="Arial" w:eastAsia="Arial" w:hAnsi="Arial"/>
          <w:sz w:val="17"/>
          <w:szCs w:val="17"/>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Class A and Class B common stockholders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(17,747 )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(22,544 )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(71,820 )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(69,332 )</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attributable to Class A and Class B common stockholders,</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117,902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112,016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116,160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110,876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per share attributable to Class A and Class B</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(0.15 )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(0.20 )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(0.62 )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common stockholders, basic and diluted</w:t>
            </w:r>
          </w:p>
        </w:tc>
        <w:tc>
          <w:tcPr>
            <w:tcW w:w="24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following potential shares of common stock were excluded from the calculation of diluted net loss per share because their effect would have been anti-dilutive for the periods presented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9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As of September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8720" w:type="dxa"/>
            <w:vAlign w:val="bottom"/>
            <w:gridSpan w:val="2"/>
          </w:tcPr>
          <w:p>
            <w:pPr>
              <w:ind w:left="8300"/>
              <w:spacing w:after="0"/>
              <w:rPr>
                <w:sz w:val="20"/>
                <w:szCs w:val="20"/>
                <w:color w:val="auto"/>
              </w:rPr>
            </w:pPr>
            <w:r>
              <w:rPr>
                <w:rFonts w:ascii="Arial" w:cs="Arial" w:eastAsia="Arial" w:hAnsi="Arial"/>
                <w:sz w:val="18"/>
                <w:szCs w:val="18"/>
                <w:b w:val="1"/>
                <w:bCs w:val="1"/>
                <w:color w:val="auto"/>
                <w:w w:val="99"/>
              </w:rPr>
              <w:t>2023</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plan stock options outstanding</w:t>
            </w:r>
          </w:p>
        </w:tc>
        <w:tc>
          <w:tcPr>
            <w:tcW w:w="10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14,942</w:t>
            </w:r>
          </w:p>
        </w:tc>
        <w:tc>
          <w:tcPr>
            <w:tcW w:w="22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17,398</w:t>
            </w:r>
          </w:p>
        </w:tc>
        <w:tc>
          <w:tcPr>
            <w:tcW w:w="100" w:type="dxa"/>
            <w:vAlign w:val="bottom"/>
            <w:shd w:val="clear" w:color="auto" w:fill="CFF0FC"/>
          </w:tcPr>
          <w:p>
            <w:pPr>
              <w:spacing w:after="0"/>
              <w:rPr>
                <w:sz w:val="21"/>
                <w:szCs w:val="21"/>
                <w:color w:val="auto"/>
              </w:rPr>
            </w:pPr>
          </w:p>
        </w:tc>
      </w:tr>
      <w:tr>
        <w:trPr>
          <w:trHeight w:val="236"/>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Equity plan stock options early exercised</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r>
      <w:tr>
        <w:trPr>
          <w:trHeight w:val="249"/>
        </w:trPr>
        <w:tc>
          <w:tcPr>
            <w:tcW w:w="8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RSUs outstanding</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11,661</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9,086</w:t>
            </w:r>
          </w:p>
        </w:tc>
        <w:tc>
          <w:tcPr>
            <w:tcW w:w="100" w:type="dxa"/>
            <w:vAlign w:val="bottom"/>
            <w:shd w:val="clear" w:color="auto" w:fill="CFF0FC"/>
          </w:tcPr>
          <w:p>
            <w:pPr>
              <w:spacing w:after="0"/>
              <w:rPr>
                <w:sz w:val="21"/>
                <w:szCs w:val="21"/>
                <w:color w:val="auto"/>
              </w:rPr>
            </w:pPr>
          </w:p>
        </w:tc>
      </w:tr>
      <w:tr>
        <w:trPr>
          <w:trHeight w:val="236"/>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Restricted shares</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issuable pursuant to the ESPP</w:t>
            </w:r>
          </w:p>
        </w:tc>
        <w:tc>
          <w:tcPr>
            <w:tcW w:w="10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27,298</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27,534</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In April 2023, the Company authorized a restructuring plan (the “Restructuring Plan”) to reduce its global workforce to improve operational efficiencies and reduce operating costs. In connection with the Restructuring Plan, the Company incurred non-recurring charges of $8.2 million related to employee transition, severance payments, employee benefits, and stock-based compensation, with all of the charges being incurred during the three months ended June 30, 2023, and no additional charges being incurred during the three months ended September 30, 2023.</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These amounts are included in “Restructuring and other related charges” within the Company's condensed consolidated statements of operations and comprehensive loss as they are incurred, and included in “Accrued expenses” within the Company's condensed consolidated balance sheet if a liability exists as of the respective balance sheet date.</w:t>
      </w:r>
    </w:p>
    <w:p>
      <w:pPr>
        <w:sectPr>
          <w:pgSz w:w="11900" w:h="16838" w:orient="portrait"/>
          <w:cols w:equalWidth="0" w:num="1">
            <w:col w:w="11240"/>
          </w:cols>
          <w:pgMar w:left="320" w:top="557" w:right="339" w:bottom="1440" w:gutter="0" w:footer="0" w:header="0"/>
        </w:sectPr>
      </w:pP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Company’s restructuring liabilities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 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 as of September 30, 2023</w:t>
      </w:r>
    </w:p>
    <w:p>
      <w:pPr>
        <w:spacing w:after="0" w:line="342"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Accrued restructuring and</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5240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5"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7,224</w:t>
      </w:r>
    </w:p>
    <w:p>
      <w:pPr>
        <w:spacing w:after="0" w:line="3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(7,060 )</w:t>
      </w:r>
    </w:p>
    <w:p>
      <w:pPr>
        <w:spacing w:after="0" w:line="28" w:lineRule="exact"/>
        <w:rPr>
          <w:sz w:val="20"/>
          <w:szCs w:val="20"/>
          <w:color w:val="auto"/>
        </w:rPr>
      </w:pPr>
    </w:p>
    <w:p>
      <w:pPr>
        <w:spacing w:after="0"/>
        <w:tabs>
          <w:tab w:leader="none" w:pos="20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164</w:t>
      </w:r>
      <w:r>
        <w:rPr>
          <w:sz w:val="1"/>
          <w:szCs w:val="1"/>
          <w:color w:val="auto"/>
        </w:rPr>
        <w:drawing>
          <wp:inline distT="0" distB="0" distL="0" distR="0">
            <wp:extent cx="68580" cy="18859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15240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240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15240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8020" w:space="720"/>
            <w:col w:w="2500"/>
          </w:cols>
          <w:pgMar w:left="320" w:top="557" w:right="339" w:bottom="1440" w:gutter="0" w:footer="0" w:header="0"/>
          <w:type w:val="continuous"/>
        </w:sectPr>
      </w:pPr>
    </w:p>
    <w:p>
      <w:pPr>
        <w:ind w:right="60" w:firstLine="509"/>
        <w:spacing w:after="0" w:line="263" w:lineRule="auto"/>
        <w:rPr>
          <w:sz w:val="20"/>
          <w:szCs w:val="20"/>
          <w:color w:val="auto"/>
        </w:rPr>
      </w:pPr>
      <w:r>
        <w:rPr>
          <w:rFonts w:ascii="Arial" w:cs="Arial" w:eastAsia="Arial" w:hAnsi="Arial"/>
          <w:sz w:val="18"/>
          <w:szCs w:val="18"/>
          <w:color w:val="auto"/>
        </w:rPr>
        <w:t>In October 2023, the Company issued 0.4 million RSUs to its employees with service-based vesting conditions. The service-based vesting condition for the majority of these awards are satisfied over three years. The grant date fair value of the RSUs issued in October 2023 was approximately $3.6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2022 (the “2022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2"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report to “Amplitude,” the “Company,” “we,” “our,” “us,” or similar terms refer to Amplitude, Inc. and its subsidiaries.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Amplitude is a leading Digital Analytics Platform that provides self-service visibility into the entire customer journey. With Amplitude, organizations can build amazing product experiences, drive revenue growth, and win their categories. We work with almost 2,500 paying customers of various sizes and stages of digital maturity, across many industries, including the teams behind some of the most-beloved digital products in the world. We have experienced significant growth in recent years, with approximately 675 employees in seven global offices.</w:t>
      </w:r>
    </w:p>
    <w:p>
      <w:pPr>
        <w:spacing w:after="0" w:line="6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and Expansion</w:t>
      </w:r>
    </w:p>
    <w:p>
      <w:pPr>
        <w:spacing w:after="0" w:line="117"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As of September 30, 2023 and 2022, we had 2,471 and 1,913 paying customers, respectively, representing an increase of 29% year-over-year. Our relationship with some of the world’s most beloved product-led companies has resulted in increased brand credibility and access to many attractive growth opportunities.</w:t>
      </w:r>
    </w:p>
    <w:p>
      <w:pPr>
        <w:spacing w:after="0" w:line="183"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We have been successful at efficiently growing our customer spend over time as evidenced by our dollar-based net retention rate for the trailing twelve months. As of September 30, 2023 and 2022, our dollar-based net retention rate for the trailing twelve months was 105% and 123%, respectively, for paying customers. Additionally, our ending dollar-based net retention rate for paying customers as of September 30, 2023 and 2022, was 99% and 113%,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Platform</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 predictive analytics and data instrumentation capabilities. Going forward, we may pursue both strategic partnerships and acquisitions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that we believe will be complementary to our business, accelerate customer acquisition, increase usage of our platform, and/or expand our product offerings in our core markets.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for Growth</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October we introduced Plus to bring the full power of digital analytics to every team for less. We believe the evolution of our technology and product offerings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Although there have been recent cost savings due to our restructuring, as we continue to invest in our platform, we expect our research and development expenses to increase in dollar amount over time. Over the longer term, we believe these expenses as a percentage of revenue will decrease, though these expenses as a percentage of revenue could increase in the short term.</w:t>
      </w:r>
    </w:p>
    <w:p>
      <w:pPr>
        <w:spacing w:after="0" w:line="178"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there have been recent cost savings due to our restructuring, as we continue to invest in our sales efforts, we expect our sales and marketing expenses to increase in dollar amount over time. Over the longer term, we believe these expenses as a percentage of revenue will decrease over the longer term, though these expenses as a percentage of revenue could increase in the short term.</w:t>
      </w:r>
    </w:p>
    <w:p>
      <w:pPr>
        <w:spacing w:after="0" w:line="19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and nine months ended September 30, 2023, 39% of our revenue was generated outside the United States. As we seek to expand our business globally, we may be adversely affected by global economic and political instability. For example, as a result of the Russia-Ukraine war,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3"/>
              </w:rPr>
              <w:t>As of September 30,</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8"/>
        </w:trPr>
        <w:tc>
          <w:tcPr>
            <w:tcW w:w="54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YoY Growth</w:t>
            </w:r>
          </w:p>
        </w:tc>
      </w:tr>
      <w:tr>
        <w:trPr>
          <w:trHeight w:val="247"/>
        </w:trPr>
        <w:tc>
          <w:tcPr>
            <w:tcW w:w="5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160" w:type="dxa"/>
            <w:vAlign w:val="bottom"/>
            <w:gridSpan w:val="3"/>
          </w:tcPr>
          <w:p>
            <w:pPr>
              <w:jc w:val="right"/>
              <w:ind w:right="90"/>
              <w:spacing w:after="0"/>
              <w:rPr>
                <w:sz w:val="20"/>
                <w:szCs w:val="20"/>
                <w:color w:val="auto"/>
              </w:rPr>
            </w:pPr>
            <w:r>
              <w:rPr>
                <w:rFonts w:ascii="Arial" w:cs="Arial" w:eastAsia="Arial" w:hAnsi="Arial"/>
                <w:sz w:val="18"/>
                <w:szCs w:val="18"/>
                <w:b w:val="1"/>
                <w:bCs w:val="1"/>
                <w:i w:val="1"/>
                <w:iCs w:val="1"/>
                <w:color w:val="auto"/>
                <w:w w:val="90"/>
              </w:rPr>
              <w:t>(dollar values in millions)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Paying Customers</w:t>
            </w:r>
          </w:p>
        </w:tc>
        <w:tc>
          <w:tcPr>
            <w:tcW w:w="10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w:t>
            </w:r>
          </w:p>
        </w:tc>
      </w:tr>
      <w:tr>
        <w:trPr>
          <w:trHeight w:val="249"/>
        </w:trPr>
        <w:tc>
          <w:tcPr>
            <w:tcW w:w="5440" w:type="dxa"/>
            <w:vAlign w:val="bottom"/>
          </w:tcPr>
          <w:p>
            <w:pPr>
              <w:ind w:left="20"/>
              <w:spacing w:after="0"/>
              <w:rPr>
                <w:sz w:val="20"/>
                <w:szCs w:val="20"/>
                <w:color w:val="auto"/>
              </w:rPr>
            </w:pPr>
            <w:r>
              <w:rPr>
                <w:rFonts w:ascii="Arial" w:cs="Arial" w:eastAsia="Arial" w:hAnsi="Arial"/>
                <w:sz w:val="18"/>
                <w:szCs w:val="18"/>
                <w:color w:val="auto"/>
              </w:rPr>
              <w:t>Annual Recurring 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1"/>
                <w:szCs w:val="21"/>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Dollar-Based Net Retention Rate (TTM)</w:t>
            </w:r>
          </w:p>
        </w:tc>
        <w:tc>
          <w:tcPr>
            <w:tcW w:w="10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105 %</w:t>
            </w:r>
          </w:p>
        </w:tc>
        <w:tc>
          <w:tcPr>
            <w:tcW w:w="134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123 %</w:t>
            </w:r>
          </w:p>
        </w:tc>
        <w:tc>
          <w:tcPr>
            <w:tcW w:w="1720" w:type="dxa"/>
            <w:vAlign w:val="bottom"/>
            <w:shd w:val="clear" w:color="auto" w:fill="CFF0FC"/>
          </w:tcPr>
          <w:p>
            <w:pPr>
              <w:spacing w:after="0"/>
              <w:rPr>
                <w:sz w:val="22"/>
                <w:szCs w:val="2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11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We define annual recurring revenue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Plan</w:t>
      </w:r>
    </w:p>
    <w:p>
      <w:pPr>
        <w:spacing w:after="0" w:line="229"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April 2023, we authorized a restructuring plan (the “Restructuring Plan”) to reduce our global workforce by approximately 13% to improve operational efficiencies and reduce operating costs. We do not expect to incur additional expenses of any significance related to the Restructuring Plan in future periods.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520"/>
              <w:spacing w:after="0"/>
              <w:rPr>
                <w:sz w:val="20"/>
                <w:szCs w:val="20"/>
                <w:color w:val="auto"/>
              </w:rPr>
            </w:pPr>
            <w:r>
              <w:rPr>
                <w:rFonts w:ascii="Arial" w:cs="Arial" w:eastAsia="Arial" w:hAnsi="Arial"/>
                <w:sz w:val="18"/>
                <w:szCs w:val="18"/>
                <w:b w:val="1"/>
                <w:bCs w:val="1"/>
                <w:i w:val="1"/>
                <w:iCs w:val="1"/>
                <w:color w:val="auto"/>
                <w:w w:val="97"/>
              </w:rPr>
              <w:t>(in thousands, except percentages)</w:t>
            </w: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53,346</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center"/>
              <w:ind w:right="8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151,223</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55,566</w:t>
            </w:r>
          </w:p>
        </w:tc>
        <w:tc>
          <w:tcPr>
            <w:tcW w:w="280" w:type="dxa"/>
            <w:vAlign w:val="bottom"/>
          </w:tcPr>
          <w:p>
            <w:pPr>
              <w:spacing w:after="0"/>
              <w:rPr>
                <w:sz w:val="21"/>
                <w:szCs w:val="21"/>
                <w:color w:val="auto"/>
              </w:rPr>
            </w:pPr>
          </w:p>
        </w:tc>
        <w:tc>
          <w:tcPr>
            <w:tcW w:w="1060" w:type="dxa"/>
            <w:vAlign w:val="bottom"/>
          </w:tcPr>
          <w:p>
            <w:pPr>
              <w:jc w:val="center"/>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45,865</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157,614</w:t>
            </w:r>
          </w:p>
        </w:tc>
        <w:tc>
          <w:tcPr>
            <w:tcW w:w="2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127,511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12"/>
        </w:trPr>
        <w:tc>
          <w:tcPr>
            <w:tcW w:w="47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76 %</w:t>
            </w:r>
          </w:p>
        </w:tc>
        <w:tc>
          <w:tcPr>
            <w:tcW w:w="10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71 %</w:t>
            </w:r>
          </w:p>
        </w:tc>
        <w:tc>
          <w:tcPr>
            <w:tcW w:w="2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74 %</w:t>
            </w:r>
          </w:p>
        </w:tc>
        <w:tc>
          <w:tcPr>
            <w:tcW w:w="50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70 %</w:t>
            </w:r>
          </w:p>
        </w:tc>
      </w:tr>
      <w:tr>
        <w:trPr>
          <w:trHeight w:val="256"/>
        </w:trPr>
        <w:tc>
          <w:tcPr>
            <w:tcW w:w="47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28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79 %</w:t>
            </w:r>
          </w:p>
        </w:tc>
        <w:tc>
          <w:tcPr>
            <w:tcW w:w="10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74 %</w:t>
            </w:r>
          </w:p>
        </w:tc>
        <w:tc>
          <w:tcPr>
            <w:tcW w:w="28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77 %</w:t>
            </w:r>
          </w:p>
        </w:tc>
        <w:tc>
          <w:tcPr>
            <w:tcW w:w="5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74 %</w:t>
            </w:r>
          </w:p>
        </w:tc>
      </w:tr>
      <w:tr>
        <w:trPr>
          <w:trHeight w:val="270"/>
        </w:trPr>
        <w:tc>
          <w:tcPr>
            <w:tcW w:w="4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(20,923 )</w:t>
            </w:r>
          </w:p>
        </w:tc>
        <w:tc>
          <w:tcPr>
            <w:tcW w:w="1060" w:type="dxa"/>
            <w:vAlign w:val="bottom"/>
            <w:shd w:val="clear" w:color="auto" w:fill="CFF0FC"/>
          </w:tcPr>
          <w:p>
            <w:pPr>
              <w:jc w:val="center"/>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(24,190 )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(80,983 )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(70,764 )</w:t>
            </w:r>
          </w:p>
        </w:tc>
        <w:tc>
          <w:tcPr>
            <w:tcW w:w="100" w:type="dxa"/>
            <w:vAlign w:val="bottom"/>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Pr>
          <w:p>
            <w:pPr>
              <w:spacing w:after="0"/>
              <w:rPr>
                <w:sz w:val="21"/>
                <w:szCs w:val="21"/>
                <w:color w:val="auto"/>
              </w:rPr>
            </w:pPr>
          </w:p>
        </w:tc>
        <w:tc>
          <w:tcPr>
            <w:tcW w:w="1060" w:type="dxa"/>
            <w:vAlign w:val="bottom"/>
          </w:tcPr>
          <w:p>
            <w:pPr>
              <w:jc w:val="center"/>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(4,863 )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(5,810 )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(21,588 )</w:t>
            </w:r>
          </w:p>
        </w:tc>
        <w:tc>
          <w:tcPr>
            <w:tcW w:w="100" w:type="dxa"/>
            <w:vAlign w:val="bottom"/>
          </w:tcPr>
          <w:p>
            <w:pPr>
              <w:spacing w:after="0"/>
              <w:rPr>
                <w:sz w:val="21"/>
                <w:szCs w:val="21"/>
                <w:color w:val="auto"/>
              </w:rPr>
            </w:pPr>
          </w:p>
        </w:tc>
      </w:tr>
      <w:tr>
        <w:trPr>
          <w:trHeight w:val="512"/>
        </w:trPr>
        <w:tc>
          <w:tcPr>
            <w:tcW w:w="4720" w:type="dxa"/>
            <w:vAlign w:val="bottom"/>
          </w:tcPr>
          <w:p>
            <w:pPr>
              <w:ind w:left="20"/>
              <w:spacing w:after="0"/>
              <w:rPr>
                <w:sz w:val="20"/>
                <w:szCs w:val="20"/>
                <w:color w:val="auto"/>
              </w:rPr>
            </w:pPr>
            <w:r>
              <w:rPr>
                <w:rFonts w:ascii="Arial" w:cs="Arial" w:eastAsia="Arial" w:hAnsi="Arial"/>
                <w:sz w:val="18"/>
                <w:szCs w:val="18"/>
                <w:color w:val="auto"/>
              </w:rPr>
              <w:t>Loss from Operations Margin</w:t>
            </w:r>
          </w:p>
        </w:tc>
        <w:tc>
          <w:tcPr>
            <w:tcW w:w="28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(30 )%</w:t>
            </w:r>
          </w:p>
        </w:tc>
        <w:tc>
          <w:tcPr>
            <w:tcW w:w="10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c>
          <w:tcPr>
            <w:tcW w:w="5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(41 )%</w:t>
            </w:r>
          </w:p>
        </w:tc>
      </w:tr>
      <w:tr>
        <w:trPr>
          <w:trHeight w:val="256"/>
        </w:trPr>
        <w:tc>
          <w:tcPr>
            <w:tcW w:w="4720" w:type="dxa"/>
            <w:vAlign w:val="bottom"/>
          </w:tcPr>
          <w:p>
            <w:pPr>
              <w:ind w:left="20"/>
              <w:spacing w:after="0"/>
              <w:rPr>
                <w:sz w:val="20"/>
                <w:szCs w:val="20"/>
                <w:color w:val="auto"/>
              </w:rPr>
            </w:pPr>
            <w:r>
              <w:rPr>
                <w:rFonts w:ascii="Arial" w:cs="Arial" w:eastAsia="Arial" w:hAnsi="Arial"/>
                <w:sz w:val="18"/>
                <w:szCs w:val="18"/>
                <w:color w:val="auto"/>
              </w:rPr>
              <w:t>Non-GAAP Income (Loss) from Operations Margin</w:t>
            </w:r>
          </w:p>
        </w:tc>
        <w:tc>
          <w:tcPr>
            <w:tcW w:w="28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0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5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70"/>
        </w:trPr>
        <w:tc>
          <w:tcPr>
            <w:tcW w:w="4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center"/>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(3,139 )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23,309</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7,488</w:t>
            </w:r>
          </w:p>
        </w:tc>
        <w:tc>
          <w:tcPr>
            <w:tcW w:w="280" w:type="dxa"/>
            <w:vAlign w:val="bottom"/>
          </w:tcPr>
          <w:p>
            <w:pPr>
              <w:spacing w:after="0"/>
              <w:rPr>
                <w:sz w:val="21"/>
                <w:szCs w:val="21"/>
                <w:color w:val="auto"/>
              </w:rPr>
            </w:pPr>
          </w:p>
        </w:tc>
        <w:tc>
          <w:tcPr>
            <w:tcW w:w="1060" w:type="dxa"/>
            <w:vAlign w:val="bottom"/>
          </w:tcPr>
          <w:p>
            <w:pPr>
              <w:jc w:val="center"/>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(3,886 )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20,965</w:t>
            </w:r>
          </w:p>
        </w:tc>
        <w:tc>
          <w:tcPr>
            <w:tcW w:w="2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(5,321 )</w:t>
            </w:r>
          </w:p>
        </w:tc>
        <w:tc>
          <w:tcPr>
            <w:tcW w:w="100" w:type="dxa"/>
            <w:vAlign w:val="bottom"/>
          </w:tcPr>
          <w:p>
            <w:pPr>
              <w:spacing w:after="0"/>
              <w:rPr>
                <w:sz w:val="21"/>
                <w:szCs w:val="21"/>
                <w:color w:val="auto"/>
              </w:rPr>
            </w:pPr>
          </w:p>
        </w:tc>
      </w:tr>
      <w:tr>
        <w:trPr>
          <w:trHeight w:val="512"/>
        </w:trPr>
        <w:tc>
          <w:tcPr>
            <w:tcW w:w="4720" w:type="dxa"/>
            <w:vAlign w:val="bottom"/>
          </w:tcPr>
          <w:p>
            <w:pPr>
              <w:ind w:left="20"/>
              <w:spacing w:after="0"/>
              <w:rPr>
                <w:sz w:val="20"/>
                <w:szCs w:val="20"/>
                <w:color w:val="auto"/>
              </w:rPr>
            </w:pPr>
            <w:r>
              <w:rPr>
                <w:rFonts w:ascii="Arial" w:cs="Arial" w:eastAsia="Arial" w:hAnsi="Arial"/>
                <w:sz w:val="18"/>
                <w:szCs w:val="18"/>
                <w:color w:val="auto"/>
                <w:w w:val="98"/>
              </w:rPr>
              <w:t>Net Cash Provided by (Used in) Operating Activities Margin</w:t>
            </w:r>
          </w:p>
        </w:tc>
        <w:tc>
          <w:tcPr>
            <w:tcW w:w="2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10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5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(0 )%</w:t>
            </w:r>
          </w:p>
        </w:tc>
      </w:tr>
      <w:tr>
        <w:trPr>
          <w:trHeight w:val="256"/>
        </w:trPr>
        <w:tc>
          <w:tcPr>
            <w:tcW w:w="472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28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10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5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Non-GAAP Gross Profit, Non-GAAP Gross Margin, Non-GAAP Income (Loss) from Operations, and Non-GAAP Income (Loss) from Operations Margin</w:t>
      </w:r>
    </w:p>
    <w:p>
      <w:pPr>
        <w:spacing w:after="0" w:line="62" w:lineRule="exact"/>
        <w:rPr>
          <w:sz w:val="20"/>
          <w:szCs w:val="20"/>
          <w:color w:val="auto"/>
        </w:rPr>
      </w:pPr>
    </w:p>
    <w:p>
      <w:pPr>
        <w:ind w:right="340" w:firstLine="509"/>
        <w:spacing w:after="0" w:line="286" w:lineRule="auto"/>
        <w:rPr>
          <w:sz w:val="20"/>
          <w:szCs w:val="20"/>
          <w:color w:val="auto"/>
        </w:rPr>
      </w:pPr>
      <w:r>
        <w:rPr>
          <w:rFonts w:ascii="Arial" w:cs="Arial" w:eastAsia="Arial" w:hAnsi="Arial"/>
          <w:sz w:val="17"/>
          <w:szCs w:val="17"/>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spacing w:after="0" w:line="164" w:lineRule="exact"/>
        <w:rPr>
          <w:sz w:val="20"/>
          <w:szCs w:val="20"/>
          <w:color w:val="auto"/>
        </w:rPr>
      </w:pPr>
    </w:p>
    <w:p>
      <w:pPr>
        <w:ind w:right="440" w:firstLine="509"/>
        <w:spacing w:after="0" w:line="279" w:lineRule="auto"/>
        <w:rPr>
          <w:sz w:val="20"/>
          <w:szCs w:val="20"/>
          <w:color w:val="auto"/>
        </w:rPr>
      </w:pPr>
      <w:r>
        <w:rPr>
          <w:rFonts w:ascii="Arial" w:cs="Arial" w:eastAsia="Arial" w:hAnsi="Arial"/>
          <w:sz w:val="17"/>
          <w:szCs w:val="17"/>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w:t>
      </w:r>
    </w:p>
    <w:p>
      <w:pPr>
        <w:spacing w:after="0" w:line="170"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64"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w:t>
      </w:r>
    </w:p>
    <w:p>
      <w:pPr>
        <w:spacing w:after="0" w:line="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17" w:lineRule="exact"/>
        <w:rPr>
          <w:sz w:val="20"/>
          <w:szCs w:val="20"/>
          <w:color w:val="auto"/>
        </w:rPr>
      </w:pPr>
    </w:p>
    <w:p>
      <w:pPr>
        <w:ind w:right="340" w:firstLine="509"/>
        <w:spacing w:after="0" w:line="301" w:lineRule="auto"/>
        <w:rPr>
          <w:sz w:val="20"/>
          <w:szCs w:val="20"/>
          <w:color w:val="auto"/>
        </w:rPr>
      </w:pPr>
      <w:r>
        <w:rPr>
          <w:rFonts w:ascii="Arial" w:cs="Arial" w:eastAsia="Arial" w:hAnsi="Arial"/>
          <w:sz w:val="16"/>
          <w:szCs w:val="16"/>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17"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reconcile the most directly comparable U.S. GAAP financial measure to each of these non-GAAP financial measures.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Non-GAAP Gross Profit and Gross Margin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4"/>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56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53,346</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center"/>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151,223</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4680" w:type="dxa"/>
            <w:vAlign w:val="bottom"/>
          </w:tcPr>
          <w:p>
            <w:pPr>
              <w:ind w:left="48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4680" w:type="dxa"/>
            <w:vAlign w:val="bottom"/>
            <w:shd w:val="clear" w:color="auto" w:fill="CFF0FC"/>
          </w:tcPr>
          <w:p>
            <w:pPr>
              <w:ind w:left="20"/>
              <w:spacing w:after="0" w:line="25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center"/>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5,426</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9"/>
        </w:trPr>
        <w:tc>
          <w:tcPr>
            <w:tcW w:w="468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1"/>
                <w:szCs w:val="21"/>
                <w:color w:val="auto"/>
              </w:rPr>
            </w:pPr>
          </w:p>
        </w:tc>
        <w:tc>
          <w:tcPr>
            <w:tcW w:w="1100" w:type="dxa"/>
            <w:vAlign w:val="bottom"/>
          </w:tcPr>
          <w:p>
            <w:pPr>
              <w:jc w:val="center"/>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965</w:t>
            </w:r>
          </w:p>
        </w:tc>
        <w:tc>
          <w:tcPr>
            <w:tcW w:w="26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55,566</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center"/>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45,865</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157,614</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127,511</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79 %</w:t>
            </w:r>
          </w:p>
        </w:tc>
        <w:tc>
          <w:tcPr>
            <w:tcW w:w="1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74 %</w:t>
            </w: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77 %</w:t>
            </w:r>
          </w:p>
        </w:tc>
        <w:tc>
          <w:tcPr>
            <w:tcW w:w="5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74 %</w:t>
            </w:r>
          </w:p>
        </w:tc>
      </w:tr>
    </w:tbl>
    <w:p>
      <w:pPr>
        <w:spacing w:after="0" w:line="157" w:lineRule="exact"/>
        <w:rPr>
          <w:sz w:val="20"/>
          <w:szCs w:val="20"/>
          <w:color w:val="auto"/>
        </w:rPr>
      </w:pPr>
    </w:p>
    <w:p>
      <w:pPr>
        <w:ind w:left="500" w:hanging="37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7"/>
              </w:rPr>
              <w:t>Non-GAAP Income (Loss) From Operations and Income (Loss) From Operations Margin</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9"/>
              </w:rPr>
              <w:t>September 30,</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6"/>
          </w:tcPr>
          <w:p>
            <w:pPr>
              <w:jc w:val="right"/>
              <w:ind w:right="500"/>
              <w:spacing w:after="0"/>
              <w:rPr>
                <w:sz w:val="20"/>
                <w:szCs w:val="20"/>
                <w:color w:val="auto"/>
              </w:rPr>
            </w:pPr>
            <w:r>
              <w:rPr>
                <w:rFonts w:ascii="Arial" w:cs="Arial" w:eastAsia="Arial" w:hAnsi="Arial"/>
                <w:sz w:val="18"/>
                <w:szCs w:val="18"/>
                <w:b w:val="1"/>
                <w:bCs w:val="1"/>
                <w:i w:val="1"/>
                <w:iCs w:val="1"/>
                <w:color w:val="auto"/>
                <w:w w:val="96"/>
              </w:rPr>
              <w:t>(in thousands, except percentages)</w:t>
            </w: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(20,923 )</w:t>
            </w:r>
          </w:p>
        </w:tc>
        <w:tc>
          <w:tcPr>
            <w:tcW w:w="1060" w:type="dxa"/>
            <w:vAlign w:val="bottom"/>
            <w:shd w:val="clear" w:color="auto" w:fill="CFF0FC"/>
          </w:tcPr>
          <w:p>
            <w:pPr>
              <w:jc w:val="center"/>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(24,190 )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(80,983 )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(70,764 )</w:t>
            </w:r>
          </w:p>
        </w:tc>
        <w:tc>
          <w:tcPr>
            <w:tcW w:w="100" w:type="dxa"/>
            <w:vAlign w:val="bottom"/>
          </w:tcPr>
          <w:p>
            <w:pPr>
              <w:spacing w:after="0"/>
              <w:rPr>
                <w:sz w:val="22"/>
                <w:szCs w:val="22"/>
                <w:color w:val="auto"/>
              </w:rPr>
            </w:pPr>
          </w:p>
        </w:tc>
      </w:tr>
      <w:tr>
        <w:trPr>
          <w:trHeight w:val="230"/>
        </w:trPr>
        <w:tc>
          <w:tcPr>
            <w:tcW w:w="4760" w:type="dxa"/>
            <w:vAlign w:val="bottom"/>
          </w:tcPr>
          <w:p>
            <w:pPr>
              <w:ind w:left="48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760" w:type="dxa"/>
            <w:vAlign w:val="bottom"/>
            <w:shd w:val="clear" w:color="auto" w:fill="CFF0FC"/>
          </w:tcPr>
          <w:p>
            <w:pPr>
              <w:ind w:left="20"/>
              <w:spacing w:after="0" w:line="25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23,450</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center"/>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18,793</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65,883</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47,659</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476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21"/>
                <w:szCs w:val="21"/>
                <w:color w:val="auto"/>
              </w:rPr>
            </w:pPr>
          </w:p>
        </w:tc>
        <w:tc>
          <w:tcPr>
            <w:tcW w:w="1060" w:type="dxa"/>
            <w:vAlign w:val="bottom"/>
          </w:tcPr>
          <w:p>
            <w:pPr>
              <w:jc w:val="center"/>
              <w:ind w:right="8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2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Pr>
          <w:p>
            <w:pPr>
              <w:spacing w:after="0"/>
              <w:rPr>
                <w:sz w:val="21"/>
                <w:szCs w:val="21"/>
                <w:color w:val="auto"/>
              </w:rPr>
            </w:pPr>
          </w:p>
        </w:tc>
        <w:tc>
          <w:tcPr>
            <w:tcW w:w="1060" w:type="dxa"/>
            <w:vAlign w:val="bottom"/>
          </w:tcPr>
          <w:p>
            <w:pPr>
              <w:jc w:val="center"/>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(4,863 )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(5,810 )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(21,588 )</w:t>
            </w:r>
          </w:p>
        </w:tc>
        <w:tc>
          <w:tcPr>
            <w:tcW w:w="100" w:type="dxa"/>
            <w:vAlign w:val="bottom"/>
          </w:tcPr>
          <w:p>
            <w:pPr>
              <w:spacing w:after="0"/>
              <w:rPr>
                <w:sz w:val="21"/>
                <w:szCs w:val="21"/>
                <w:color w:val="auto"/>
              </w:rPr>
            </w:pPr>
          </w:p>
        </w:tc>
      </w:tr>
      <w:tr>
        <w:trPr>
          <w:trHeight w:val="256"/>
        </w:trPr>
        <w:tc>
          <w:tcPr>
            <w:tcW w:w="4760" w:type="dxa"/>
            <w:vAlign w:val="bottom"/>
          </w:tcPr>
          <w:p>
            <w:pPr>
              <w:ind w:left="20"/>
              <w:spacing w:after="0"/>
              <w:rPr>
                <w:sz w:val="20"/>
                <w:szCs w:val="20"/>
                <w:color w:val="auto"/>
              </w:rPr>
            </w:pPr>
            <w:r>
              <w:rPr>
                <w:rFonts w:ascii="Arial" w:cs="Arial" w:eastAsia="Arial" w:hAnsi="Arial"/>
                <w:sz w:val="18"/>
                <w:szCs w:val="18"/>
                <w:color w:val="auto"/>
              </w:rPr>
              <w:t>Non-GAAP Income (Loss) from Operations Margin</w:t>
            </w:r>
          </w:p>
        </w:tc>
        <w:tc>
          <w:tcPr>
            <w:tcW w:w="26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06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2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52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77" w:lineRule="exact"/>
        <w:rPr>
          <w:sz w:val="20"/>
          <w:szCs w:val="20"/>
          <w:color w:val="auto"/>
        </w:rPr>
      </w:pPr>
    </w:p>
    <w:p>
      <w:pPr>
        <w:ind w:left="380" w:right="200" w:hanging="372"/>
        <w:spacing w:after="0" w:line="252"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Stock-based compensation expense-related charges include employer payroll tax-related expenses on employee stock transactions, but exclude stock-based compensation costs included in </w:t>
      </w:r>
      <w:r>
        <w:rPr>
          <w:rFonts w:ascii="Arial" w:cs="Arial" w:eastAsia="Arial" w:hAnsi="Arial"/>
          <w:sz w:val="14"/>
          <w:szCs w:val="14"/>
          <w:i w:val="1"/>
          <w:iCs w:val="1"/>
          <w:color w:val="auto"/>
        </w:rPr>
        <w:t>Restructuring and other related charges</w:t>
      </w:r>
      <w:r>
        <w:rPr>
          <w:rFonts w:ascii="Arial" w:cs="Arial" w:eastAsia="Arial" w:hAnsi="Arial"/>
          <w:sz w:val="14"/>
          <w:szCs w:val="14"/>
          <w:color w:val="auto"/>
        </w:rPr>
        <w:t>.</w:t>
      </w:r>
    </w:p>
    <w:p>
      <w:pPr>
        <w:spacing w:after="0" w:line="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6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4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47"/>
        </w:trPr>
        <w:tc>
          <w:tcPr>
            <w:tcW w:w="4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60" w:type="dxa"/>
            <w:vAlign w:val="bottom"/>
            <w:gridSpan w:val="6"/>
          </w:tcPr>
          <w:p>
            <w:pPr>
              <w:jc w:val="right"/>
              <w:ind w:right="560"/>
              <w:spacing w:after="0"/>
              <w:rPr>
                <w:sz w:val="20"/>
                <w:szCs w:val="20"/>
                <w:color w:val="auto"/>
              </w:rPr>
            </w:pPr>
            <w:r>
              <w:rPr>
                <w:rFonts w:ascii="Arial" w:cs="Arial" w:eastAsia="Arial" w:hAnsi="Arial"/>
                <w:sz w:val="18"/>
                <w:szCs w:val="18"/>
                <w:b w:val="1"/>
                <w:bCs w:val="1"/>
                <w:i w:val="1"/>
                <w:iCs w:val="1"/>
                <w:color w:val="auto"/>
                <w:w w:val="98"/>
              </w:rPr>
              <w:t>(in thousands, except percentages)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(476 )</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(60,853 )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(2,344 )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(64,641 )</w:t>
            </w:r>
          </w:p>
        </w:tc>
      </w:tr>
      <w:tr>
        <w:trPr>
          <w:trHeight w:val="249"/>
        </w:trPr>
        <w:tc>
          <w:tcPr>
            <w:tcW w:w="46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(3,323 )</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(924 )</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78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7,964</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(3,139 )</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23,309</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(786 )</w:t>
            </w:r>
          </w:p>
        </w:tc>
      </w:tr>
      <w:tr>
        <w:trPr>
          <w:trHeight w:val="230"/>
        </w:trPr>
        <w:tc>
          <w:tcPr>
            <w:tcW w:w="4680" w:type="dxa"/>
            <w:vAlign w:val="bottom"/>
          </w:tcPr>
          <w:p>
            <w:pPr>
              <w:ind w:left="480"/>
              <w:spacing w:after="0"/>
              <w:rPr>
                <w:sz w:val="20"/>
                <w:szCs w:val="20"/>
                <w:color w:val="auto"/>
              </w:rPr>
            </w:pPr>
            <w:r>
              <w:rPr>
                <w:rFonts w:ascii="Arial" w:cs="Arial" w:eastAsia="Arial" w:hAnsi="Arial"/>
                <w:sz w:val="18"/>
                <w:szCs w:val="18"/>
                <w:color w:val="auto"/>
              </w:rPr>
              <w:t>Less:</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4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(487 )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(995 )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(3,012 )</w:t>
            </w:r>
          </w:p>
        </w:tc>
      </w:tr>
      <w:tr>
        <w:trPr>
          <w:trHeight w:val="249"/>
        </w:trPr>
        <w:tc>
          <w:tcPr>
            <w:tcW w:w="4680" w:type="dxa"/>
            <w:vAlign w:val="bottom"/>
          </w:tcPr>
          <w:p>
            <w:pPr>
              <w:ind w:left="20"/>
              <w:spacing w:after="0"/>
              <w:rPr>
                <w:sz w:val="20"/>
                <w:szCs w:val="20"/>
                <w:color w:val="auto"/>
              </w:rPr>
            </w:pPr>
            <w:r>
              <w:rPr>
                <w:rFonts w:ascii="Arial" w:cs="Arial" w:eastAsia="Arial" w:hAnsi="Arial"/>
                <w:sz w:val="18"/>
                <w:szCs w:val="18"/>
                <w:color w:val="auto"/>
              </w:rPr>
              <w:t>Capitalization of internal-use software costs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(476 )</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(1,349 )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(1,523 )</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7,488</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(3,886 )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20,965</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(5,321 )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Free Cash Flow Margin</w:t>
            </w:r>
          </w:p>
        </w:tc>
        <w:tc>
          <w:tcPr>
            <w:tcW w:w="3200" w:type="dxa"/>
            <w:vAlign w:val="bottom"/>
          </w:tcPr>
          <w:p>
            <w:pPr>
              <w:jc w:val="right"/>
              <w:ind w:right="770"/>
              <w:spacing w:after="0"/>
              <w:rPr>
                <w:sz w:val="20"/>
                <w:szCs w:val="20"/>
                <w:color w:val="auto"/>
              </w:rPr>
            </w:pPr>
            <w:r>
              <w:rPr>
                <w:rFonts w:ascii="Arial" w:cs="Arial" w:eastAsia="Arial" w:hAnsi="Arial"/>
                <w:sz w:val="18"/>
                <w:szCs w:val="18"/>
                <w:color w:val="auto"/>
              </w:rPr>
              <w:t>11 %</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(6 )%</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10 %</w:t>
            </w:r>
          </w:p>
        </w:tc>
        <w:tc>
          <w:tcPr>
            <w:tcW w:w="1040" w:type="dxa"/>
            <w:vAlign w:val="bottom"/>
          </w:tcPr>
          <w:p>
            <w:pPr>
              <w:jc w:val="right"/>
              <w:spacing w:after="0"/>
              <w:rPr>
                <w:sz w:val="20"/>
                <w:szCs w:val="20"/>
                <w:color w:val="auto"/>
              </w:rPr>
            </w:pPr>
            <w:r>
              <w:rPr>
                <w:rFonts w:ascii="Arial" w:cs="Arial" w:eastAsia="Arial" w:hAnsi="Arial"/>
                <w:sz w:val="18"/>
                <w:szCs w:val="18"/>
                <w:color w:val="auto"/>
              </w:rPr>
              <w:t>(3 )%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00" w:firstLine="509"/>
        <w:spacing w:after="0" w:line="259" w:lineRule="auto"/>
        <w:rPr>
          <w:sz w:val="20"/>
          <w:szCs w:val="20"/>
          <w:color w:val="auto"/>
        </w:rPr>
      </w:pPr>
      <w:r>
        <w:rPr>
          <w:rFonts w:ascii="Arial" w:cs="Arial" w:eastAsia="Arial" w:hAnsi="Arial"/>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ind w:right="240" w:firstLine="509"/>
        <w:spacing w:after="0" w:line="301"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and 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Although there have been recent cost savings due to our restructuring,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5"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continue to make strategic investments in our sales and marketing organization, and we expect sales and marketing expenses to remain our largest operating expense in dollar amount. Although there have been recent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6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Although there have been recent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Related Charges</w:t>
      </w:r>
    </w:p>
    <w:p>
      <w:pPr>
        <w:spacing w:after="0" w:line="117" w:lineRule="exact"/>
        <w:rPr>
          <w:sz w:val="20"/>
          <w:szCs w:val="20"/>
          <w:color w:val="auto"/>
        </w:rPr>
      </w:pPr>
    </w:p>
    <w:p>
      <w:pPr>
        <w:ind w:right="360" w:firstLine="554"/>
        <w:spacing w:after="0" w:line="277" w:lineRule="auto"/>
        <w:rPr>
          <w:sz w:val="20"/>
          <w:szCs w:val="20"/>
          <w:color w:val="auto"/>
        </w:rPr>
      </w:pPr>
      <w:r>
        <w:rPr>
          <w:rFonts w:ascii="Arial" w:cs="Arial" w:eastAsia="Arial" w:hAnsi="Arial"/>
          <w:sz w:val="18"/>
          <w:szCs w:val="18"/>
          <w:color w:val="auto"/>
        </w:rPr>
        <w:t>Restructuring and other related charges, related to the Restructuring Plan, consist primarily of charges related to employee transition, severance payments, employee benefits, and stock-based compensation. These expenses are not expected to recur.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marketable securities holdings and foreign currency transaction gains and losses.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$422.2 million and tax credit carryforwards of $9.1 million, net of reserves as of December 31, 2022,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34"/>
        </w:trPr>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i w:val="1"/>
                <w:iCs w:val="1"/>
                <w:color w:val="auto"/>
                <w:w w:val="87"/>
              </w:rPr>
              <w:t>(in thousands)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100" w:type="dxa"/>
            <w:vAlign w:val="bottom"/>
            <w:shd w:val="clear" w:color="auto" w:fill="CFF0FC"/>
          </w:tcPr>
          <w:p>
            <w:pPr>
              <w:spacing w:after="0"/>
              <w:rPr>
                <w:sz w:val="21"/>
                <w:szCs w:val="21"/>
                <w:color w:val="auto"/>
              </w:rPr>
            </w:pPr>
          </w:p>
        </w:tc>
      </w:tr>
      <w:tr>
        <w:trPr>
          <w:trHeight w:val="243"/>
        </w:trPr>
        <w:tc>
          <w:tcPr>
            <w:tcW w:w="4640" w:type="dxa"/>
            <w:vAlign w:val="bottom"/>
          </w:tcPr>
          <w:p>
            <w:pPr>
              <w:ind w:left="20"/>
              <w:spacing w:after="0" w:line="243"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w:t>
            </w:r>
          </w:p>
        </w:tc>
        <w:tc>
          <w:tcPr>
            <w:tcW w:w="3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53,658</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51,199</w:t>
            </w:r>
          </w:p>
        </w:tc>
        <w:tc>
          <w:tcPr>
            <w:tcW w:w="100" w:type="dxa"/>
            <w:vAlign w:val="bottom"/>
          </w:tcPr>
          <w:p>
            <w:pPr>
              <w:spacing w:after="0"/>
              <w:rPr>
                <w:sz w:val="21"/>
                <w:szCs w:val="21"/>
                <w:color w:val="auto"/>
              </w:rPr>
            </w:pPr>
          </w:p>
        </w:tc>
      </w:tr>
      <w:tr>
        <w:trPr>
          <w:trHeight w:val="230"/>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53,346</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151,223</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64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21,797</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67,940</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58,397</w:t>
            </w:r>
          </w:p>
        </w:tc>
        <w:tc>
          <w:tcPr>
            <w:tcW w:w="100" w:type="dxa"/>
            <w:vAlign w:val="bottom"/>
            <w:shd w:val="clear" w:color="auto" w:fill="CFF0FC"/>
          </w:tcPr>
          <w:p>
            <w:pPr>
              <w:spacing w:after="0"/>
              <w:rPr>
                <w:sz w:val="21"/>
                <w:szCs w:val="21"/>
                <w:color w:val="auto"/>
              </w:rPr>
            </w:pPr>
          </w:p>
        </w:tc>
      </w:tr>
      <w:tr>
        <w:trPr>
          <w:trHeight w:val="243"/>
        </w:trPr>
        <w:tc>
          <w:tcPr>
            <w:tcW w:w="4640" w:type="dxa"/>
            <w:vAlign w:val="bottom"/>
          </w:tcPr>
          <w:p>
            <w:pPr>
              <w:ind w:left="200"/>
              <w:spacing w:after="0" w:line="243"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38,475</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32,528</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115,934</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94,793</w:t>
            </w:r>
          </w:p>
        </w:tc>
        <w:tc>
          <w:tcPr>
            <w:tcW w:w="100" w:type="dxa"/>
            <w:vAlign w:val="bottom"/>
          </w:tcPr>
          <w:p>
            <w:pPr>
              <w:spacing w:after="0"/>
              <w:rPr>
                <w:sz w:val="21"/>
                <w:szCs w:val="21"/>
                <w:color w:val="auto"/>
              </w:rPr>
            </w:pPr>
          </w:p>
        </w:tc>
      </w:tr>
      <w:tr>
        <w:trPr>
          <w:trHeight w:val="243"/>
        </w:trPr>
        <w:tc>
          <w:tcPr>
            <w:tcW w:w="4640" w:type="dxa"/>
            <w:vAlign w:val="bottom"/>
            <w:shd w:val="clear" w:color="auto" w:fill="CFF0FC"/>
          </w:tcPr>
          <w:p>
            <w:pPr>
              <w:ind w:left="20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13,997</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40,138</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100" w:type="dxa"/>
            <w:vAlign w:val="bottom"/>
            <w:shd w:val="clear" w:color="auto" w:fill="CFF0FC"/>
          </w:tcPr>
          <w:p>
            <w:pPr>
              <w:spacing w:after="0"/>
              <w:rPr>
                <w:sz w:val="21"/>
                <w:szCs w:val="21"/>
                <w:color w:val="auto"/>
              </w:rPr>
            </w:pPr>
          </w:p>
        </w:tc>
      </w:tr>
      <w:tr>
        <w:trPr>
          <w:trHeight w:val="243"/>
        </w:trPr>
        <w:tc>
          <w:tcPr>
            <w:tcW w:w="4640" w:type="dxa"/>
            <w:vAlign w:val="bottom"/>
          </w:tcPr>
          <w:p>
            <w:pPr>
              <w:ind w:left="200"/>
              <w:spacing w:after="0" w:line="243" w:lineRule="exact"/>
              <w:rPr>
                <w:sz w:val="20"/>
                <w:szCs w:val="20"/>
                <w:color w:val="auto"/>
              </w:rPr>
            </w:pPr>
            <w:r>
              <w:rPr>
                <w:rFonts w:ascii="Arial" w:cs="Arial" w:eastAsia="Arial" w:hAnsi="Arial"/>
                <w:sz w:val="18"/>
                <w:szCs w:val="18"/>
                <w:color w:val="auto"/>
              </w:rPr>
              <w:t>Restructuring and other related charges</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8,194</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74,269</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232,206</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(20,923 )</w:t>
            </w:r>
          </w:p>
        </w:tc>
        <w:tc>
          <w:tcPr>
            <w:tcW w:w="10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(24,190 )</w:t>
            </w:r>
          </w:p>
        </w:tc>
        <w:tc>
          <w:tcPr>
            <w:tcW w:w="3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(80,983 )</w:t>
            </w: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(70,764 )</w:t>
            </w: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9,889</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300"/>
              <w:spacing w:after="0"/>
              <w:rPr>
                <w:sz w:val="20"/>
                <w:szCs w:val="20"/>
                <w:color w:val="auto"/>
              </w:rPr>
            </w:pPr>
            <w:r>
              <w:rPr>
                <w:rFonts w:ascii="Arial" w:cs="Arial" w:eastAsia="Arial" w:hAnsi="Arial"/>
                <w:sz w:val="18"/>
                <w:szCs w:val="18"/>
                <w:color w:val="auto"/>
              </w:rPr>
              <w:t>Loss before provision for (benefit from) income taxes</w:t>
            </w:r>
          </w:p>
        </w:tc>
        <w:tc>
          <w:tcPr>
            <w:tcW w:w="3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(17,479 )</w:t>
            </w:r>
          </w:p>
        </w:tc>
        <w:tc>
          <w:tcPr>
            <w:tcW w:w="10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(22,748 )</w:t>
            </w:r>
          </w:p>
        </w:tc>
        <w:tc>
          <w:tcPr>
            <w:tcW w:w="3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(71,094 )</w:t>
            </w: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(68,943 )</w:t>
            </w:r>
          </w:p>
        </w:tc>
      </w:tr>
      <w:tr>
        <w:trPr>
          <w:trHeight w:val="24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(204 )</w:t>
            </w: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21"/>
                <w:szCs w:val="2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(17,747 )</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(22,544 )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(71,820 )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(69,332 )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-1729740</wp:posOffset>
            </wp:positionV>
            <wp:extent cx="76835"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-1729740</wp:posOffset>
            </wp:positionV>
            <wp:extent cx="6858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-1729740</wp:posOffset>
            </wp:positionV>
            <wp:extent cx="68580"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-1729740</wp:posOffset>
            </wp:positionV>
            <wp:extent cx="6858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-787400</wp:posOffset>
            </wp:positionV>
            <wp:extent cx="7683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-787400</wp:posOffset>
            </wp:positionV>
            <wp:extent cx="6858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-787400</wp:posOffset>
            </wp:positionV>
            <wp:extent cx="6858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-471170</wp:posOffset>
            </wp:positionV>
            <wp:extent cx="76835"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-471170</wp:posOffset>
            </wp:positionV>
            <wp:extent cx="6858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-471170</wp:posOffset>
            </wp:positionV>
            <wp:extent cx="6858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-154305</wp:posOffset>
            </wp:positionV>
            <wp:extent cx="76835"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-154305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-154305</wp:posOffset>
            </wp:positionV>
            <wp:extent cx="6858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2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855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8"/>
                <w:szCs w:val="18"/>
                <w:color w:val="auto"/>
              </w:rPr>
            </w:pPr>
          </w:p>
        </w:tc>
      </w:tr>
      <w:tr>
        <w:trPr>
          <w:trHeight w:val="241"/>
        </w:trPr>
        <w:tc>
          <w:tcPr>
            <w:tcW w:w="46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47"/>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60" w:type="dxa"/>
            <w:vAlign w:val="bottom"/>
            <w:gridSpan w:val="3"/>
          </w:tcPr>
          <w:p>
            <w:pPr>
              <w:jc w:val="center"/>
              <w:ind w:right="210"/>
              <w:spacing w:after="0"/>
              <w:rPr>
                <w:sz w:val="20"/>
                <w:szCs w:val="20"/>
                <w:color w:val="auto"/>
              </w:rPr>
            </w:pPr>
            <w:r>
              <w:rPr>
                <w:rFonts w:ascii="Arial" w:cs="Arial" w:eastAsia="Arial" w:hAnsi="Arial"/>
                <w:sz w:val="18"/>
                <w:szCs w:val="18"/>
                <w:b w:val="1"/>
                <w:bCs w:val="1"/>
                <w:i w:val="1"/>
                <w:iCs w:val="1"/>
                <w:color w:val="auto"/>
                <w:w w:val="87"/>
              </w:rPr>
              <w:t>(in thousands)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center"/>
              <w:ind w:left="510"/>
              <w:spacing w:after="0"/>
              <w:rPr>
                <w:sz w:val="20"/>
                <w:szCs w:val="20"/>
                <w:color w:val="auto"/>
              </w:rPr>
            </w:pPr>
            <w:r>
              <w:rPr>
                <w:rFonts w:ascii="Arial" w:cs="Arial" w:eastAsia="Arial" w:hAnsi="Arial"/>
                <w:sz w:val="18"/>
                <w:szCs w:val="18"/>
                <w:b w:val="1"/>
                <w:bCs w:val="1"/>
                <w:i w:val="1"/>
                <w:iCs w:val="1"/>
                <w:color w:val="auto"/>
                <w:w w:val="87"/>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136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5,426</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100" w:type="dxa"/>
            <w:vAlign w:val="bottom"/>
            <w:shd w:val="clear" w:color="auto" w:fill="CFF0FC"/>
          </w:tcPr>
          <w:p>
            <w:pPr>
              <w:spacing w:after="0"/>
              <w:rPr>
                <w:sz w:val="22"/>
                <w:szCs w:val="22"/>
                <w:color w:val="auto"/>
              </w:rPr>
            </w:pPr>
          </w:p>
        </w:tc>
      </w:tr>
      <w:tr>
        <w:trPr>
          <w:trHeight w:val="249"/>
        </w:trPr>
        <w:tc>
          <w:tcPr>
            <w:tcW w:w="4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9,285</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27,173</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21,677</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shd w:val="clear" w:color="auto" w:fill="CFF0FC"/>
          </w:tcPr>
          <w:p>
            <w:pPr>
              <w:spacing w:after="0"/>
              <w:rPr>
                <w:sz w:val="22"/>
                <w:szCs w:val="22"/>
                <w:color w:val="auto"/>
              </w:rPr>
            </w:pPr>
          </w:p>
        </w:tc>
      </w:tr>
      <w:tr>
        <w:trPr>
          <w:trHeight w:val="249"/>
        </w:trPr>
        <w:tc>
          <w:tcPr>
            <w:tcW w:w="4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4,010</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9,876</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21"/>
                <w:szCs w:val="21"/>
                <w:color w:val="auto"/>
              </w:rPr>
            </w:pP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8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23,085</w:t>
            </w:r>
          </w:p>
        </w:tc>
        <w:tc>
          <w:tcPr>
            <w:tcW w:w="13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18,492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65,005</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46,831</w:t>
            </w:r>
          </w:p>
        </w:tc>
        <w:tc>
          <w:tcPr>
            <w:tcW w:w="100" w:type="dxa"/>
            <w:vAlign w:val="bottom"/>
          </w:tcPr>
          <w:p>
            <w:pPr>
              <w:spacing w:after="0"/>
              <w:rPr>
                <w:sz w:val="20"/>
                <w:szCs w:val="20"/>
                <w:color w:val="auto"/>
              </w:rPr>
            </w:pPr>
          </w:p>
        </w:tc>
      </w:tr>
      <w:tr>
        <w:trPr>
          <w:trHeight w:val="539"/>
        </w:trPr>
        <w:tc>
          <w:tcPr>
            <w:tcW w:w="46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28</w:t>
            </w:r>
          </w:p>
        </w:tc>
        <w:tc>
          <w:tcPr>
            <w:tcW w:w="3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-598805</wp:posOffset>
            </wp:positionV>
            <wp:extent cx="7683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-598805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-598805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ind w:right="160" w:firstLine="509"/>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for each of the periods presented, as a percentage of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4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95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8"/>
                <w:szCs w:val="18"/>
                <w:b w:val="1"/>
                <w:bCs w:val="1"/>
                <w:color w:val="auto"/>
                <w:w w:val="89"/>
              </w:rPr>
              <w:t>September 30,</w:t>
            </w:r>
          </w:p>
        </w:tc>
      </w:tr>
      <w:tr>
        <w:trPr>
          <w:trHeight w:val="238"/>
        </w:trPr>
        <w:tc>
          <w:tcPr>
            <w:tcW w:w="4620" w:type="dxa"/>
            <w:vAlign w:val="bottom"/>
          </w:tcPr>
          <w:p>
            <w:pPr>
              <w:spacing w:after="0"/>
              <w:rPr>
                <w:sz w:val="20"/>
                <w:szCs w:val="20"/>
                <w:color w:val="auto"/>
              </w:rPr>
            </w:pPr>
          </w:p>
        </w:tc>
        <w:tc>
          <w:tcPr>
            <w:tcW w:w="104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96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2022</w:t>
            </w:r>
          </w:p>
        </w:tc>
      </w:tr>
      <w:tr>
        <w:trPr>
          <w:trHeight w:val="24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40" w:type="dxa"/>
            <w:vAlign w:val="bottom"/>
            <w:tcBorders>
              <w:top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1"/>
              </w:rPr>
              <w:t>100%</w:t>
            </w:r>
          </w:p>
        </w:tc>
        <w:tc>
          <w:tcPr>
            <w:tcW w:w="4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1"/>
              </w:rPr>
              <w:t>100%</w:t>
            </w:r>
          </w:p>
        </w:tc>
        <w:tc>
          <w:tcPr>
            <w:tcW w:w="5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4"/>
              </w:rPr>
              <w:t>24%</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88"/>
              </w:rPr>
              <w:t>29%</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4"/>
              </w:rPr>
              <w:t>26%</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30%</w:t>
            </w:r>
          </w:p>
        </w:tc>
      </w:tr>
      <w:tr>
        <w:trPr>
          <w:trHeight w:val="236"/>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tcBorders>
              <w:top w:val="single" w:sz="8" w:color="auto"/>
              <w:bottom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4"/>
              </w:rPr>
              <w:t>76%</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71%</w:t>
            </w: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4"/>
              </w:rPr>
              <w:t>74%</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70%</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w w:val="94"/>
              </w:rPr>
              <w:t>31%</w:t>
            </w:r>
          </w:p>
        </w:tc>
        <w:tc>
          <w:tcPr>
            <w:tcW w:w="2340" w:type="dxa"/>
            <w:vAlign w:val="bottom"/>
            <w:gridSpan w:val="3"/>
            <w:shd w:val="clear" w:color="auto" w:fill="CFF0FC"/>
          </w:tcPr>
          <w:p>
            <w:pPr>
              <w:jc w:val="center"/>
              <w:ind w:left="490"/>
              <w:spacing w:after="0"/>
              <w:rPr>
                <w:sz w:val="20"/>
                <w:szCs w:val="20"/>
                <w:color w:val="auto"/>
              </w:rPr>
            </w:pPr>
            <w:r>
              <w:rPr>
                <w:rFonts w:ascii="Arial" w:cs="Arial" w:eastAsia="Arial" w:hAnsi="Arial"/>
                <w:sz w:val="18"/>
                <w:szCs w:val="18"/>
                <w:color w:val="auto"/>
                <w:w w:val="88"/>
              </w:rPr>
              <w:t>35%</w:t>
            </w:r>
          </w:p>
        </w:tc>
        <w:tc>
          <w:tcPr>
            <w:tcW w:w="1120" w:type="dxa"/>
            <w:vAlign w:val="bottom"/>
            <w:gridSpan w:val="2"/>
            <w:shd w:val="clear" w:color="auto" w:fill="CFF0FC"/>
          </w:tcPr>
          <w:p>
            <w:pPr>
              <w:jc w:val="center"/>
              <w:ind w:left="570"/>
              <w:spacing w:after="0"/>
              <w:rPr>
                <w:sz w:val="20"/>
                <w:szCs w:val="20"/>
                <w:color w:val="auto"/>
              </w:rPr>
            </w:pPr>
            <w:r>
              <w:rPr>
                <w:rFonts w:ascii="Arial" w:cs="Arial" w:eastAsia="Arial" w:hAnsi="Arial"/>
                <w:sz w:val="18"/>
                <w:szCs w:val="18"/>
                <w:color w:val="auto"/>
                <w:w w:val="94"/>
              </w:rPr>
              <w:t>33%</w:t>
            </w:r>
          </w:p>
        </w:tc>
        <w:tc>
          <w:tcPr>
            <w:tcW w:w="2120" w:type="dxa"/>
            <w:vAlign w:val="bottom"/>
            <w:gridSpan w:val="3"/>
            <w:shd w:val="clear" w:color="auto" w:fill="CFF0FC"/>
          </w:tcPr>
          <w:p>
            <w:pPr>
              <w:jc w:val="center"/>
              <w:ind w:left="570"/>
              <w:spacing w:after="0"/>
              <w:rPr>
                <w:sz w:val="20"/>
                <w:szCs w:val="20"/>
                <w:color w:val="auto"/>
              </w:rPr>
            </w:pPr>
            <w:r>
              <w:rPr>
                <w:rFonts w:ascii="Arial" w:cs="Arial" w:eastAsia="Arial" w:hAnsi="Arial"/>
                <w:sz w:val="18"/>
                <w:szCs w:val="18"/>
                <w:color w:val="auto"/>
                <w:w w:val="94"/>
              </w:rPr>
              <w:t>34%</w:t>
            </w:r>
          </w:p>
        </w:tc>
      </w:tr>
      <w:tr>
        <w:trPr>
          <w:trHeight w:val="236"/>
        </w:trPr>
        <w:tc>
          <w:tcPr>
            <w:tcW w:w="46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4"/>
              </w:rPr>
              <w:t>54%</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88"/>
              </w:rPr>
              <w:t>53%</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4"/>
              </w:rPr>
              <w:t>57%</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55%</w:t>
            </w: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w w:val="94"/>
              </w:rPr>
              <w:t>20%</w:t>
            </w:r>
          </w:p>
        </w:tc>
        <w:tc>
          <w:tcPr>
            <w:tcW w:w="2340" w:type="dxa"/>
            <w:vAlign w:val="bottom"/>
            <w:gridSpan w:val="3"/>
            <w:shd w:val="clear" w:color="auto" w:fill="CFF0FC"/>
          </w:tcPr>
          <w:p>
            <w:pPr>
              <w:jc w:val="center"/>
              <w:ind w:left="490"/>
              <w:spacing w:after="0"/>
              <w:rPr>
                <w:sz w:val="20"/>
                <w:szCs w:val="20"/>
                <w:color w:val="auto"/>
              </w:rPr>
            </w:pPr>
            <w:r>
              <w:rPr>
                <w:rFonts w:ascii="Arial" w:cs="Arial" w:eastAsia="Arial" w:hAnsi="Arial"/>
                <w:sz w:val="18"/>
                <w:szCs w:val="18"/>
                <w:color w:val="auto"/>
                <w:w w:val="88"/>
              </w:rPr>
              <w:t>22%</w:t>
            </w:r>
          </w:p>
        </w:tc>
        <w:tc>
          <w:tcPr>
            <w:tcW w:w="1120" w:type="dxa"/>
            <w:vAlign w:val="bottom"/>
            <w:gridSpan w:val="2"/>
            <w:shd w:val="clear" w:color="auto" w:fill="CFF0FC"/>
          </w:tcPr>
          <w:p>
            <w:pPr>
              <w:jc w:val="center"/>
              <w:ind w:left="570"/>
              <w:spacing w:after="0"/>
              <w:rPr>
                <w:sz w:val="20"/>
                <w:szCs w:val="20"/>
                <w:color w:val="auto"/>
              </w:rPr>
            </w:pPr>
            <w:r>
              <w:rPr>
                <w:rFonts w:ascii="Arial" w:cs="Arial" w:eastAsia="Arial" w:hAnsi="Arial"/>
                <w:sz w:val="18"/>
                <w:szCs w:val="18"/>
                <w:color w:val="auto"/>
                <w:w w:val="94"/>
              </w:rPr>
              <w:t>20%</w:t>
            </w:r>
          </w:p>
        </w:tc>
        <w:tc>
          <w:tcPr>
            <w:tcW w:w="2120" w:type="dxa"/>
            <w:vAlign w:val="bottom"/>
            <w:gridSpan w:val="3"/>
            <w:shd w:val="clear" w:color="auto" w:fill="CFF0FC"/>
          </w:tcPr>
          <w:p>
            <w:pPr>
              <w:jc w:val="center"/>
              <w:ind w:left="570"/>
              <w:spacing w:after="0"/>
              <w:rPr>
                <w:sz w:val="20"/>
                <w:szCs w:val="20"/>
                <w:color w:val="auto"/>
              </w:rPr>
            </w:pPr>
            <w:r>
              <w:rPr>
                <w:rFonts w:ascii="Arial" w:cs="Arial" w:eastAsia="Arial" w:hAnsi="Arial"/>
                <w:sz w:val="18"/>
                <w:szCs w:val="18"/>
                <w:color w:val="auto"/>
                <w:w w:val="94"/>
              </w:rPr>
              <w:t>23%</w:t>
            </w:r>
          </w:p>
        </w:tc>
      </w:tr>
      <w:tr>
        <w:trPr>
          <w:trHeight w:val="236"/>
        </w:trPr>
        <w:tc>
          <w:tcPr>
            <w:tcW w:w="462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rPr>
              <w:t>*</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4%</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auto"/>
              <w:bottom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1"/>
              </w:rPr>
              <w:t>105%</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110%</w:t>
            </w: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1"/>
              </w:rPr>
              <w:t>113%</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111%</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5"/>
              </w:rPr>
              <w:t>(30)%</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(39)%</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5"/>
              </w:rPr>
              <w:t>(40)%</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(41)%</w:t>
            </w: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auto"/>
            </w:tcBorders>
            <w:shd w:val="clear" w:color="auto" w:fill="CFF0FC"/>
          </w:tcPr>
          <w:p>
            <w:pPr>
              <w:jc w:val="center"/>
              <w:ind w:left="350"/>
              <w:spacing w:after="0"/>
              <w:rPr>
                <w:sz w:val="20"/>
                <w:szCs w:val="20"/>
                <w:color w:val="auto"/>
              </w:rPr>
            </w:pPr>
            <w:r>
              <w:rPr>
                <w:rFonts w:ascii="Arial" w:cs="Arial" w:eastAsia="Arial" w:hAnsi="Arial"/>
                <w:sz w:val="18"/>
                <w:szCs w:val="18"/>
                <w:color w:val="auto"/>
                <w:w w:val="92"/>
              </w:rPr>
              <w:t>5%</w:t>
            </w:r>
          </w:p>
        </w:tc>
        <w:tc>
          <w:tcPr>
            <w:tcW w:w="4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center"/>
              <w:ind w:left="390"/>
              <w:spacing w:after="0"/>
              <w:rPr>
                <w:sz w:val="20"/>
                <w:szCs w:val="20"/>
                <w:color w:val="auto"/>
              </w:rPr>
            </w:pPr>
            <w:r>
              <w:rPr>
                <w:rFonts w:ascii="Arial" w:cs="Arial" w:eastAsia="Arial" w:hAnsi="Arial"/>
                <w:sz w:val="18"/>
                <w:szCs w:val="18"/>
                <w:color w:val="auto"/>
                <w:w w:val="92"/>
              </w:rPr>
              <w:t>5%</w:t>
            </w:r>
          </w:p>
        </w:tc>
        <w:tc>
          <w:tcPr>
            <w:tcW w:w="5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w:t>
            </w:r>
          </w:p>
        </w:tc>
      </w:tr>
      <w:tr>
        <w:trPr>
          <w:trHeight w:val="236"/>
        </w:trPr>
        <w:tc>
          <w:tcPr>
            <w:tcW w:w="4620" w:type="dxa"/>
            <w:vAlign w:val="bottom"/>
          </w:tcPr>
          <w:p>
            <w:pPr>
              <w:ind w:left="300"/>
              <w:spacing w:after="0"/>
              <w:rPr>
                <w:sz w:val="20"/>
                <w:szCs w:val="20"/>
                <w:color w:val="auto"/>
              </w:rPr>
            </w:pPr>
            <w:r>
              <w:rPr>
                <w:rFonts w:ascii="Arial" w:cs="Arial" w:eastAsia="Arial" w:hAnsi="Arial"/>
                <w:sz w:val="18"/>
                <w:szCs w:val="18"/>
                <w:color w:val="auto"/>
              </w:rPr>
              <w:t>Loss before provision for (benefit from) income taxes</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5"/>
              </w:rPr>
              <w:t>(25)%</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(37)%</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5"/>
              </w:rPr>
              <w:t>(35)%</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(40)%</w:t>
            </w: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4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rPr>
              <w:t>*</w:t>
            </w:r>
          </w:p>
        </w:tc>
        <w:tc>
          <w:tcPr>
            <w:tcW w:w="2340" w:type="dxa"/>
            <w:vAlign w:val="bottom"/>
            <w:gridSpan w:val="3"/>
            <w:shd w:val="clear" w:color="auto" w:fill="CFF0FC"/>
          </w:tcPr>
          <w:p>
            <w:pPr>
              <w:jc w:val="center"/>
              <w:ind w:left="4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center"/>
              <w:ind w:left="57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FF0FC"/>
          </w:tcPr>
          <w:p>
            <w:pPr>
              <w:jc w:val="center"/>
              <w:ind w:left="57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5"/>
              </w:rPr>
              <w:t>(25)%</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(37)%</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5"/>
              </w:rPr>
              <w:t>(35)%</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-1720850</wp:posOffset>
            </wp:positionV>
            <wp:extent cx="102870"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-1720850</wp:posOffset>
            </wp:positionV>
            <wp:extent cx="10287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-1720850</wp:posOffset>
            </wp:positionV>
            <wp:extent cx="10287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-779145</wp:posOffset>
            </wp:positionV>
            <wp:extent cx="102870" cy="162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-779145</wp:posOffset>
            </wp:positionV>
            <wp:extent cx="10287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-779145</wp:posOffset>
            </wp:positionV>
            <wp:extent cx="10287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-462280</wp:posOffset>
            </wp:positionV>
            <wp:extent cx="10287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-462280</wp:posOffset>
            </wp:positionV>
            <wp:extent cx="10287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-462280</wp:posOffset>
            </wp:positionV>
            <wp:extent cx="10287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855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30"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15" w:lineRule="exact"/>
        <w:rPr>
          <w:sz w:val="20"/>
          <w:szCs w:val="20"/>
          <w:color w:val="auto"/>
        </w:rPr>
      </w:pPr>
    </w:p>
    <w:p>
      <w:pPr>
        <w:ind w:right="3700"/>
        <w:spacing w:after="0" w:line="402" w:lineRule="auto"/>
        <w:rPr>
          <w:sz w:val="20"/>
          <w:szCs w:val="20"/>
          <w:color w:val="auto"/>
        </w:rPr>
      </w:pPr>
      <w:r>
        <w:rPr>
          <w:rFonts w:ascii="Arial" w:cs="Arial" w:eastAsia="Arial" w:hAnsi="Arial"/>
          <w:sz w:val="18"/>
          <w:szCs w:val="18"/>
          <w:b w:val="1"/>
          <w:bCs w:val="1"/>
          <w:i w:val="1"/>
          <w:iCs w:val="1"/>
          <w:color w:val="auto"/>
        </w:rPr>
        <w:t xml:space="preserve">Comparison of Three Months Ended September 30, 2023 to Three Months Ended September 30, 2022 </w:t>
      </w:r>
      <w:r>
        <w:rPr>
          <w:rFonts w:ascii="Arial" w:cs="Arial" w:eastAsia="Arial" w:hAnsi="Arial"/>
          <w:sz w:val="18"/>
          <w:szCs w:val="18"/>
          <w:i w:val="1"/>
          <w:iCs w:val="1"/>
          <w:color w:val="auto"/>
        </w:rPr>
        <w:t>Revenue</w:t>
      </w:r>
    </w:p>
    <w:p>
      <w:pPr>
        <w:spacing w:after="0" w:line="98"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0" w:type="dxa"/>
            <w:vAlign w:val="bottom"/>
            <w:gridSpan w:val="4"/>
          </w:tcPr>
          <w:p>
            <w:pPr>
              <w:jc w:val="right"/>
              <w:ind w:right="21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17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Revenue increased $9.0 million, or 15%, during the three months ended September 30, 2023 compared to the three months ended September 30, 2022. The increase in revenue was primarily due to growth of our paying customer base of 29% and revenue generated from our existing paying customers as reflected by our NRR (TTM) of 105% as of September 30,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4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6"/>
          </w:tcPr>
          <w:p>
            <w:pPr>
              <w:jc w:val="right"/>
              <w:ind w:right="560"/>
              <w:spacing w:after="0"/>
              <w:rPr>
                <w:sz w:val="20"/>
                <w:szCs w:val="20"/>
                <w:color w:val="auto"/>
              </w:rPr>
            </w:pPr>
            <w:r>
              <w:rPr>
                <w:rFonts w:ascii="Arial" w:cs="Arial" w:eastAsia="Arial" w:hAnsi="Arial"/>
                <w:sz w:val="18"/>
                <w:szCs w:val="18"/>
                <w:b w:val="1"/>
                <w:bCs w:val="1"/>
                <w:i w:val="1"/>
                <w:iCs w:val="1"/>
                <w:color w:val="auto"/>
                <w:w w:val="97"/>
              </w:rPr>
              <w:t>(in thousands, except percentages)</w:t>
            </w:r>
          </w:p>
        </w:tc>
        <w:tc>
          <w:tcPr>
            <w:tcW w:w="1460" w:type="dxa"/>
            <w:vAlign w:val="bottom"/>
          </w:tcPr>
          <w:p>
            <w:pPr>
              <w:spacing w:after="0"/>
              <w:rPr>
                <w:sz w:val="21"/>
                <w:szCs w:val="21"/>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17,291</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center"/>
              <w:ind w:right="8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(785 )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76 %</w:t>
            </w:r>
          </w:p>
        </w:tc>
        <w:tc>
          <w:tcPr>
            <w:tcW w:w="108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1"/>
                <w:szCs w:val="21"/>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15"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Cost of revenue decreased $0.8 million, or 4%, during the three months ended September 30, 2023 compared to the three months ended September 30, 2022. The decrease was primarily due to a decrease of $0.6 million in personnel and related expenses and a decrease of $0.3 million in our third-party hosting costs.</w:t>
      </w:r>
    </w:p>
    <w:p>
      <w:pPr>
        <w:spacing w:after="0" w:line="183" w:lineRule="exact"/>
        <w:rPr>
          <w:sz w:val="20"/>
          <w:szCs w:val="20"/>
          <w:color w:val="auto"/>
        </w:rPr>
      </w:pPr>
    </w:p>
    <w:p>
      <w:pPr>
        <w:ind w:right="20" w:firstLine="509"/>
        <w:spacing w:after="0" w:line="341" w:lineRule="auto"/>
        <w:rPr>
          <w:sz w:val="20"/>
          <w:szCs w:val="20"/>
          <w:color w:val="auto"/>
        </w:rPr>
      </w:pPr>
      <w:r>
        <w:rPr>
          <w:rFonts w:ascii="Arial" w:cs="Arial" w:eastAsia="Arial" w:hAnsi="Arial"/>
          <w:sz w:val="16"/>
          <w:szCs w:val="16"/>
          <w:color w:val="auto"/>
        </w:rPr>
        <w:t>Gross margin increased during the three months ended September 30, 2023 compared to the three months ended September 30, 2022 mainly due to a decrease in our third-party hosting costs as a percentage of revenue and a decrease in personnel and related expenses as a result of our Restructuring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4640" w:type="dxa"/>
            <w:vAlign w:val="bottom"/>
          </w:tcPr>
          <w:p>
            <w:pPr>
              <w:spacing w:after="0"/>
              <w:rPr>
                <w:sz w:val="24"/>
                <w:szCs w:val="24"/>
                <w:color w:val="auto"/>
              </w:rPr>
            </w:pPr>
          </w:p>
        </w:tc>
        <w:tc>
          <w:tcPr>
            <w:tcW w:w="27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46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47"/>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jc w:val="right"/>
              <w:ind w:right="21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21,797</w:t>
            </w:r>
          </w:p>
        </w:tc>
        <w:tc>
          <w:tcPr>
            <w:tcW w:w="134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21,590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1%</w:t>
            </w:r>
          </w:p>
        </w:tc>
      </w:tr>
      <w:tr>
        <w:trPr>
          <w:trHeight w:val="249"/>
        </w:trPr>
        <w:tc>
          <w:tcPr>
            <w:tcW w:w="46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38,475</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32,528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5,947</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18%</w:t>
            </w:r>
          </w:p>
        </w:tc>
      </w:tr>
      <w:tr>
        <w:trPr>
          <w:trHeight w:val="24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13,997</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13,610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720" w:type="dxa"/>
            <w:vAlign w:val="bottom"/>
            <w:tcBorders>
              <w:bottom w:val="single" w:sz="8" w:color="CFF0FC"/>
            </w:tcBorders>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3%</w:t>
            </w: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74,269</w:t>
            </w: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67,728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-170815</wp:posOffset>
            </wp:positionV>
            <wp:extent cx="7683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-170815</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-170815</wp:posOffset>
            </wp:positionV>
            <wp:extent cx="685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560" w:firstLine="509"/>
        <w:spacing w:after="0" w:line="286" w:lineRule="auto"/>
        <w:rPr>
          <w:sz w:val="20"/>
          <w:szCs w:val="20"/>
          <w:color w:val="auto"/>
        </w:rPr>
      </w:pPr>
      <w:r>
        <w:rPr>
          <w:rFonts w:ascii="Arial" w:cs="Arial" w:eastAsia="Arial" w:hAnsi="Arial"/>
          <w:sz w:val="17"/>
          <w:szCs w:val="17"/>
          <w:color w:val="auto"/>
        </w:rPr>
        <w:t>Research and development expenses increased $0.2 million, or 1%, during the three months ended September 30, 2023 compared to the three months ended September 30, 2022. This increase was primarily attributable to an increase of $1.7 million in stock-based compensation, offset by a decrease of $1.7 million in personnel and related expenses, including allocated overhead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Sales and marketing expenses increased $5.9 million, or 18%, during the three months ended September 30, 2023 compared to the three months ended September 30, 2022. The increase was primarily due to an increase of $2.9 million in stock-based compensation expenses and related payroll taxes and an increase of $1.3 million in personnel and related expenses, including an increase in allocated overhead costs. The increase was also attributable to an increase of $2.0 million in commissions related to an expansion of our customer base, contract value of deals, and sales team compared to the same period in the prior year.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General and administrative expenses increased $0.4 million, or 3%, during the three months ended September 30, 2023 compared to the three months ended September 30, 2022. The increase was primarily attributable to an increase of $0.9 million in personnel and related expenses, including an increase in allocated overhead costs. The increase was partially offset by a decrease of $0.6 million in corporate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4640" w:type="dxa"/>
            <w:vAlign w:val="bottom"/>
          </w:tcPr>
          <w:p>
            <w:pPr>
              <w:spacing w:after="0"/>
              <w:rPr>
                <w:sz w:val="24"/>
                <w:szCs w:val="24"/>
                <w:color w:val="auto"/>
              </w:rPr>
            </w:pPr>
          </w:p>
        </w:tc>
        <w:tc>
          <w:tcPr>
            <w:tcW w:w="27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46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46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4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jc w:val="right"/>
              <w:ind w:right="21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3,444</w:t>
            </w:r>
          </w:p>
        </w:tc>
        <w:tc>
          <w:tcPr>
            <w:tcW w:w="13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72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139%</w:t>
            </w:r>
          </w:p>
        </w:tc>
      </w:tr>
    </w:tbl>
    <w:p>
      <w:pPr>
        <w:spacing w:after="0" w:line="269"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Other income (expense), net increased $2.0 million during the three months ended September 30, 2023 compared to the three months ended September 30, 2022. This was primarily due to rising interest rates, which resulted in an increase in interest income by $2.1 million in the three months ended September 30,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Provision for (Benefit from) Income Taxes</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1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88"/>
              </w:rPr>
              <w:t>$ Change</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1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center"/>
              <w:ind w:left="270"/>
              <w:spacing w:after="0"/>
              <w:rPr>
                <w:sz w:val="20"/>
                <w:szCs w:val="20"/>
                <w:color w:val="auto"/>
              </w:rPr>
            </w:pPr>
            <w:r>
              <w:rPr>
                <w:rFonts w:ascii="Arial" w:cs="Arial" w:eastAsia="Arial" w:hAnsi="Arial"/>
                <w:sz w:val="18"/>
                <w:szCs w:val="18"/>
                <w:b w:val="1"/>
                <w:bCs w:val="1"/>
                <w:i w:val="1"/>
                <w:iCs w:val="1"/>
                <w:color w:val="auto"/>
                <w:w w:val="84"/>
              </w:rPr>
              <w:t>(in thousands, except percentages)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6"/>
              </w:rPr>
              <w:t>268</w:t>
            </w:r>
          </w:p>
        </w:tc>
        <w:tc>
          <w:tcPr>
            <w:tcW w:w="142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FF0FC"/>
          </w:tcPr>
          <w:p>
            <w:pPr>
              <w:jc w:val="right"/>
              <w:ind w:right="870"/>
              <w:spacing w:after="0"/>
              <w:rPr>
                <w:sz w:val="20"/>
                <w:szCs w:val="20"/>
                <w:color w:val="auto"/>
              </w:rPr>
            </w:pPr>
            <w:r>
              <w:rPr>
                <w:rFonts w:ascii="Arial" w:cs="Arial" w:eastAsia="Arial" w:hAnsi="Arial"/>
                <w:sz w:val="18"/>
                <w:szCs w:val="18"/>
                <w:color w:val="auto"/>
              </w:rPr>
              <w:t>(204 )  $</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472</w:t>
            </w:r>
          </w:p>
        </w:tc>
        <w:tc>
          <w:tcPr>
            <w:tcW w:w="172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r>
      <w:tr>
        <w:trPr>
          <w:trHeight w:val="148"/>
        </w:trPr>
        <w:tc>
          <w:tcPr>
            <w:tcW w:w="1360" w:type="dxa"/>
            <w:vAlign w:val="bottom"/>
            <w:tcBorders>
              <w:bottom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spacing w:after="0" w:line="89"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140" w:firstLine="509"/>
        <w:spacing w:after="0" w:line="263" w:lineRule="auto"/>
        <w:rPr>
          <w:sz w:val="20"/>
          <w:szCs w:val="20"/>
          <w:color w:val="auto"/>
        </w:rPr>
      </w:pPr>
      <w:r>
        <w:rPr>
          <w:rFonts w:ascii="Arial" w:cs="Arial" w:eastAsia="Arial" w:hAnsi="Arial"/>
          <w:sz w:val="18"/>
          <w:szCs w:val="18"/>
          <w:color w:val="auto"/>
        </w:rPr>
        <w:t>Provision for (benefit from) income taxes increased $0.5 million, during the three months ended September 30, 2023 compared to the three months ended September 30, 2022, primarily due to a one-time decrease in foreign taxes resulting from foreign deferred tax balance changes during the three months ended September 30, 2022.</w:t>
      </w:r>
    </w:p>
    <w:p>
      <w:pPr>
        <w:spacing w:after="0" w:line="290" w:lineRule="exact"/>
        <w:rPr>
          <w:sz w:val="20"/>
          <w:szCs w:val="20"/>
          <w:color w:val="auto"/>
        </w:rPr>
      </w:pPr>
    </w:p>
    <w:p>
      <w:pPr>
        <w:ind w:right="3860"/>
        <w:spacing w:after="0" w:line="402" w:lineRule="auto"/>
        <w:rPr>
          <w:sz w:val="20"/>
          <w:szCs w:val="20"/>
          <w:color w:val="auto"/>
        </w:rPr>
      </w:pPr>
      <w:r>
        <w:rPr>
          <w:rFonts w:ascii="Arial" w:cs="Arial" w:eastAsia="Arial" w:hAnsi="Arial"/>
          <w:sz w:val="18"/>
          <w:szCs w:val="18"/>
          <w:b w:val="1"/>
          <w:bCs w:val="1"/>
          <w:i w:val="1"/>
          <w:iCs w:val="1"/>
          <w:color w:val="auto"/>
        </w:rPr>
        <w:t xml:space="preserve">Comparison of Nine Months Ended September 30, 2023 to Nine Months Ended September 30, 2022 </w:t>
      </w:r>
      <w:r>
        <w:rPr>
          <w:rFonts w:ascii="Arial" w:cs="Arial" w:eastAsia="Arial" w:hAnsi="Arial"/>
          <w:sz w:val="18"/>
          <w:szCs w:val="18"/>
          <w:i w:val="1"/>
          <w:iCs w:val="1"/>
          <w:color w:val="auto"/>
        </w:rPr>
        <w:t>Revenue</w:t>
      </w:r>
    </w:p>
    <w:p>
      <w:pPr>
        <w:spacing w:after="0" w:line="98"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80" w:type="dxa"/>
            <w:vAlign w:val="bottom"/>
            <w:gridSpan w:val="4"/>
          </w:tcPr>
          <w:p>
            <w:pPr>
              <w:ind w:left="200"/>
              <w:spacing w:after="0"/>
              <w:rPr>
                <w:sz w:val="20"/>
                <w:szCs w:val="20"/>
                <w:color w:val="auto"/>
              </w:rPr>
            </w:pPr>
            <w:r>
              <w:rPr>
                <w:rFonts w:ascii="Arial" w:cs="Arial" w:eastAsia="Arial" w:hAnsi="Arial"/>
                <w:sz w:val="18"/>
                <w:szCs w:val="18"/>
                <w:b w:val="1"/>
                <w:bCs w:val="1"/>
                <w:i w:val="1"/>
                <w:iCs w:val="1"/>
                <w:color w:val="auto"/>
                <w:w w:val="91"/>
              </w:rPr>
              <w:t>(in thousands, except percentages)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32,072</w:t>
            </w:r>
          </w:p>
        </w:tc>
        <w:tc>
          <w:tcPr>
            <w:tcW w:w="17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19%</w:t>
            </w:r>
          </w:p>
        </w:tc>
      </w:tr>
    </w:tbl>
    <w:p>
      <w:pPr>
        <w:spacing w:after="0" w:line="20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Revenue increased $32.1 million, or 19%, during the nine months ended September 30, 2023 compared to the nine months ended September 30, 2022. The increase in revenue was primarily due to growth of our paying customer base of 29% and revenue generated from our existing paying customers as reflected by our NRR (TTM) of 105% as of September 30,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4"/>
              </w:rPr>
              <w:t>2022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4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20" w:type="dxa"/>
            <w:vAlign w:val="bottom"/>
            <w:gridSpan w:val="5"/>
          </w:tcPr>
          <w:p>
            <w:pPr>
              <w:jc w:val="right"/>
              <w:ind w:right="460"/>
              <w:spacing w:after="0"/>
              <w:rPr>
                <w:sz w:val="20"/>
                <w:szCs w:val="20"/>
                <w:color w:val="auto"/>
              </w:rPr>
            </w:pPr>
            <w:r>
              <w:rPr>
                <w:rFonts w:ascii="Arial" w:cs="Arial" w:eastAsia="Arial" w:hAnsi="Arial"/>
                <w:sz w:val="18"/>
                <w:szCs w:val="18"/>
                <w:b w:val="1"/>
                <w:bCs w:val="1"/>
                <w:i w:val="1"/>
                <w:iCs w:val="1"/>
                <w:color w:val="auto"/>
                <w:w w:val="90"/>
              </w:rPr>
              <w:t>(in thousands, except percentages)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53,658</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51,199</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74 %</w:t>
            </w:r>
          </w:p>
        </w:tc>
        <w:tc>
          <w:tcPr>
            <w:tcW w:w="6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70 %</w:t>
            </w: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42"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Cost of revenue increased $2.5 million, or 5%, during the nine months ended September 30, 2023 compared to the nine months ended September 30, 2022. The increase was primarily due to an increase of $1.0 million in stock-based compensation expense and an increase of $0.4 million in personnel and related expenses, including an increase in allocated overhead costs. The increase was also related to an increase of $0.6 million in third-party hosting costs as we increased capacity to support paying customer usage and the growth of our paying customer base.</w:t>
      </w:r>
    </w:p>
    <w:p>
      <w:pPr>
        <w:spacing w:after="0" w:line="17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Our gross margin increased during the nine months ended September 30, 2023 compared to the nine months ended September 30, 2022 mainly due to a decrease in our third-party hosting costs as a percentage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2022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47"/>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80" w:type="dxa"/>
            <w:vAlign w:val="bottom"/>
            <w:gridSpan w:val="4"/>
          </w:tcPr>
          <w:p>
            <w:pPr>
              <w:jc w:val="right"/>
              <w:ind w:right="130"/>
              <w:spacing w:after="0"/>
              <w:rPr>
                <w:sz w:val="20"/>
                <w:szCs w:val="20"/>
                <w:color w:val="auto"/>
              </w:rPr>
            </w:pPr>
            <w:r>
              <w:rPr>
                <w:rFonts w:ascii="Arial" w:cs="Arial" w:eastAsia="Arial" w:hAnsi="Arial"/>
                <w:sz w:val="18"/>
                <w:szCs w:val="18"/>
                <w:b w:val="1"/>
                <w:bCs w:val="1"/>
                <w:i w:val="1"/>
                <w:iCs w:val="1"/>
                <w:color w:val="auto"/>
                <w:w w:val="90"/>
              </w:rPr>
              <w:t>(in thousands, except percentages)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67,940</w:t>
            </w:r>
          </w:p>
        </w:tc>
        <w:tc>
          <w:tcPr>
            <w:tcW w:w="8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58,397</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9,543</w:t>
            </w:r>
          </w:p>
        </w:tc>
        <w:tc>
          <w:tcPr>
            <w:tcW w:w="17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4"/>
              </w:rPr>
              <w:t>16%</w:t>
            </w:r>
          </w:p>
        </w:tc>
      </w:tr>
      <w:tr>
        <w:trPr>
          <w:trHeight w:val="249"/>
        </w:trPr>
        <w:tc>
          <w:tcPr>
            <w:tcW w:w="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115,934</w:t>
            </w: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94,793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21,141</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22%</w:t>
            </w:r>
          </w:p>
        </w:tc>
      </w:tr>
      <w:tr>
        <w:trPr>
          <w:trHeight w:val="263"/>
        </w:trPr>
        <w:tc>
          <w:tcPr>
            <w:tcW w:w="20" w:type="dxa"/>
            <w:vAlign w:val="bottom"/>
          </w:tcPr>
          <w:p>
            <w:pPr>
              <w:spacing w:after="0"/>
              <w:rPr>
                <w:sz w:val="22"/>
                <w:szCs w:val="22"/>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40,138</w:t>
            </w:r>
          </w:p>
        </w:tc>
        <w:tc>
          <w:tcPr>
            <w:tcW w:w="3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2%</w:t>
            </w: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232,206</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192,374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39,832</w:t>
            </w:r>
          </w:p>
        </w:tc>
        <w:tc>
          <w:tcPr>
            <w:tcW w:w="172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4"/>
              </w:rPr>
              <w:t>21%</w:t>
            </w:r>
          </w:p>
        </w:tc>
      </w:tr>
      <w:tr>
        <w:trPr>
          <w:trHeight w:val="268"/>
        </w:trPr>
        <w:tc>
          <w:tcPr>
            <w:tcW w:w="20" w:type="dxa"/>
            <w:vAlign w:val="bottom"/>
          </w:tcPr>
          <w:p>
            <w:pPr>
              <w:spacing w:after="0"/>
              <w:rPr>
                <w:sz w:val="23"/>
                <w:szCs w:val="23"/>
                <w:color w:val="auto"/>
              </w:rPr>
            </w:pPr>
          </w:p>
        </w:tc>
        <w:tc>
          <w:tcPr>
            <w:tcW w:w="4620" w:type="dxa"/>
            <w:vAlign w:val="bottom"/>
          </w:tcPr>
          <w:p>
            <w:pPr>
              <w:spacing w:after="0"/>
              <w:rPr>
                <w:sz w:val="20"/>
                <w:szCs w:val="20"/>
                <w:color w:val="auto"/>
              </w:rPr>
            </w:pPr>
            <w:r>
              <w:rPr>
                <w:rFonts w:ascii="Arial" w:cs="Arial" w:eastAsia="Arial" w:hAnsi="Arial"/>
                <w:sz w:val="22"/>
                <w:szCs w:val="22"/>
                <w:color w:val="auto"/>
              </w:rPr>
              <w:t>__________</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-182245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-182245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-182245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Research and development expenses increased $9.5 million, or 16%, during the nine months ended September 30, 2023 compared to the nine months ended September 30, 2022, primarily due to investments in our workforce and to drive product innovation. This increase was attributable to an increase of $8.3 million in stock-based compensation as well as an increase of $0.7 million in personnel and related expenses, including an increase in allocated overhead costs.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Sales and marketing expenses increased $21.1 million, or 22%, during the nine months ended September 30, 2023 compared to the nine months ended September 30, 2022. The increase was primarily due to an increase of $7.6 million in personnel and related expenses and an increase of $10.7 million in stock-based compensation expenses and related payroll taxes, including an increase in allocated overhead costs. The increase was also attributable to an increase of $5.7 million in commissions related to an expansion of our customer base, contract value of deals, and sales team compared to the same period in the prior year. The increases were partially offset by a decrease of $3.8 million in marketing expenses mainly attributed to expenses to support hosting of Amplify, our in-person and virtual product and growth conference held in the nine months ended September 30, 2022 that was not repeated in the nine months ended September 30, 2023.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General and administrative expenses increased $1.0 million, or 2%, during the nine months ended September 30, 2023 compared to the nine months ended September 30, 2022. The increase was primarily attributable to an increase of $2.9 million in personnel and related expenses, including an increase in allocated overhead costs. The increase was partially offset by a decrease of $1.8 million in stock-based compensation expenses primarily due to non-recurring charges related to stock options incurred in the nine months ended September 30, 2022 that did not recur in 2023.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 Related Charges</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Restructuring and other related charges were $8.2 million during the nine months ended September 30, 2023, related to charges related to employee transition, severance payments, employee benefits, and stock-based compensation. We did not have related expenses in the nine months ended September 30, 2022.</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1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4"/>
              </w:rPr>
              <w:t>2023</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1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260" w:type="dxa"/>
            <w:vAlign w:val="bottom"/>
            <w:gridSpan w:val="5"/>
          </w:tcPr>
          <w:p>
            <w:pPr>
              <w:ind w:left="480"/>
              <w:spacing w:after="0"/>
              <w:rPr>
                <w:sz w:val="20"/>
                <w:szCs w:val="20"/>
                <w:color w:val="auto"/>
              </w:rPr>
            </w:pPr>
            <w:r>
              <w:rPr>
                <w:rFonts w:ascii="Arial" w:cs="Arial" w:eastAsia="Arial" w:hAnsi="Arial"/>
                <w:sz w:val="18"/>
                <w:szCs w:val="18"/>
                <w:b w:val="1"/>
                <w:bCs w:val="1"/>
                <w:i w:val="1"/>
                <w:iCs w:val="1"/>
                <w:color w:val="auto"/>
                <w:w w:val="91"/>
              </w:rPr>
              <w:t>(in thousands, except percentages)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9"/>
        </w:trPr>
        <w:tc>
          <w:tcPr>
            <w:tcW w:w="4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w:t>
            </w:r>
          </w:p>
        </w:tc>
        <w:tc>
          <w:tcPr>
            <w:tcW w:w="13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8,068</w:t>
            </w:r>
          </w:p>
        </w:tc>
        <w:tc>
          <w:tcPr>
            <w:tcW w:w="172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r>
      <w:tr>
        <w:trPr>
          <w:trHeight w:val="135"/>
        </w:trPr>
        <w:tc>
          <w:tcPr>
            <w:tcW w:w="136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r>
    </w:tbl>
    <w:p>
      <w:pPr>
        <w:spacing w:after="0" w:line="89"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4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Other income (expense), net increased $8.1 million during the nine months ended September 30, 2023 compared to the nine months ended September 30, 2022. The increase was primarily related to a $8.2 million increase in interest income resulting from interest earned on investments in money market funds and marketable securities held during the nine months ended September 30, 2023 that were held for less than three months during the nine months ended September 30,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i w:val="1"/>
                <w:iCs w:val="1"/>
                <w:color w:val="auto"/>
              </w:rPr>
              <w:t>Provision for (Benefit from) Income Taxes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4"/>
        </w:trPr>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1"/>
        </w:trPr>
        <w:tc>
          <w:tcPr>
            <w:tcW w:w="46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4640" w:type="dxa"/>
            <w:vAlign w:val="bottom"/>
          </w:tcPr>
          <w:p>
            <w:pPr>
              <w:spacing w:after="0"/>
              <w:rPr>
                <w:sz w:val="20"/>
                <w:szCs w:val="20"/>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4"/>
              </w:rPr>
              <w:t>2023</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47"/>
        </w:trPr>
        <w:tc>
          <w:tcPr>
            <w:tcW w:w="4640" w:type="dxa"/>
            <w:vAlign w:val="bottom"/>
          </w:tcPr>
          <w:p>
            <w:pPr>
              <w:spacing w:after="0"/>
              <w:rPr>
                <w:sz w:val="21"/>
                <w:szCs w:val="21"/>
                <w:color w:val="auto"/>
              </w:rPr>
            </w:pPr>
          </w:p>
        </w:tc>
        <w:tc>
          <w:tcPr>
            <w:tcW w:w="3260" w:type="dxa"/>
            <w:vAlign w:val="bottom"/>
            <w:gridSpan w:val="5"/>
          </w:tcPr>
          <w:p>
            <w:pPr>
              <w:ind w:left="480"/>
              <w:spacing w:after="0"/>
              <w:rPr>
                <w:sz w:val="20"/>
                <w:szCs w:val="20"/>
                <w:color w:val="auto"/>
              </w:rPr>
            </w:pPr>
            <w:r>
              <w:rPr>
                <w:rFonts w:ascii="Arial" w:cs="Arial" w:eastAsia="Arial" w:hAnsi="Arial"/>
                <w:sz w:val="18"/>
                <w:szCs w:val="18"/>
                <w:b w:val="1"/>
                <w:bCs w:val="1"/>
                <w:i w:val="1"/>
                <w:iCs w:val="1"/>
                <w:color w:val="auto"/>
                <w:w w:val="91"/>
              </w:rPr>
              <w:t>(in thousands, except percentages)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6"/>
              </w:rPr>
              <w:t>726</w:t>
            </w:r>
          </w:p>
        </w:tc>
        <w:tc>
          <w:tcPr>
            <w:tcW w:w="146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7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87%</w:t>
            </w:r>
          </w:p>
        </w:tc>
      </w:tr>
    </w:tbl>
    <w:p>
      <w:pPr>
        <w:spacing w:after="0" w:line="228"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Provision for (benefit from) income taxes increased $0.3 million, or 87%, during the nine months ended September 30, 2023 compared to the nine months ended September 30, 2022, primarily due to a one-time decrease in foreign taxes resulting from foreign deferred tax balance changes during the nine months ended September 30, 2022.</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$345.0 million as of September 30, 2023. We generated positive cash flows from operating activities for the nine months ended September 30, 2023;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93"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As of September 30, 2023, our principal sources of liquidity were cash and cash equivalents of $238.5 million and restricted cash of $0.9 million. We also had $85.3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September 30, 2023, we had $109.0 million of deferred revenue, all of which was recorded as a current liability. This deferred revenue will be recognized as revenue when or as the related performance obligations are met.</w:t>
      </w:r>
    </w:p>
    <w:p>
      <w:pPr>
        <w:spacing w:after="0" w:line="19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Nine Months Ended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5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4"/>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(in</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b w:val="1"/>
                <w:bCs w:val="1"/>
                <w:i w:val="1"/>
                <w:iCs w:val="1"/>
                <w:color w:val="auto"/>
                <w:w w:val="88"/>
              </w:rPr>
              <w:t>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2"/>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23,309</w:t>
            </w:r>
          </w:p>
        </w:tc>
        <w:tc>
          <w:tcPr>
            <w:tcW w:w="3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(786 )</w:t>
            </w:r>
          </w:p>
        </w:tc>
      </w:tr>
      <w:tr>
        <w:trPr>
          <w:trHeight w:val="249"/>
        </w:trPr>
        <w:tc>
          <w:tcPr>
            <w:tcW w:w="65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70"/>
              <w:spacing w:after="0"/>
              <w:rPr>
                <w:sz w:val="20"/>
                <w:szCs w:val="20"/>
                <w:color w:val="auto"/>
              </w:rPr>
            </w:pPr>
            <w:r>
              <w:rPr>
                <w:rFonts w:ascii="Arial" w:cs="Arial" w:eastAsia="Arial" w:hAnsi="Arial"/>
                <w:sz w:val="18"/>
                <w:szCs w:val="18"/>
                <w:color w:val="auto"/>
              </w:rPr>
              <w:t>(2,344 )</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(64,641 )</w:t>
            </w: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(924 )</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FF0FC"/>
          </w:tcPr>
          <w:p>
            <w:pPr>
              <w:spacing w:after="0"/>
              <w:rPr>
                <w:sz w:val="22"/>
                <w:szCs w:val="2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positive cash flow from operating activities; however, in the last several years, we have generated negative cash flows from operating activities and have supplemented working capital requirements through net proceeds from the sale of preferred stock and common stock.</w:t>
      </w:r>
    </w:p>
    <w:p>
      <w:pPr>
        <w:spacing w:after="0" w:line="48"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Net cash provided by operating activities of $23.3 million for the nine months ended September 30, 2023 reflects our net loss of $71.8 million, adjusted by non-cash items such as stock-based compensation expense of $65.0 million, depreciation and amortization of $4.2 million, and non-cash operating lease costs of $2.9 million as well as net cash provided by changes in our operating assets and liabilities of $23.9 million. The net cash provided by changes in operating assets and liabilities primarily consisted of collections outpacing revenue recognized as evidenced through the net increase in cash of $8.3 million from changes in accounts receivable and deferred revenue. Additionally, decreases in prepaid expenses and other current and noncurrent assets of $2.4 million and an increase in accounts payable and accrued expenses of $16.8 million, also increased operating cash flows during the period.</w:t>
      </w:r>
    </w:p>
    <w:p>
      <w:pPr>
        <w:spacing w:after="0" w:line="55"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Net cash used in operating activities of $0.8 million for the nine months ended September 30, 2022 reflects our net loss of $69.3 million, adjusted by non-cash items such as stock-based compensation expense of $46.8 million, depreciation and amortization of $3.2 million, and non-cash operating lease costs of $2.8 million as well as net cash provided by changes in our operating assets and liabilities of $15.8 million. The net cash provided by changes in operating assets and liabilities primarily consisted of a $26.2 million increase in deferred revenue, resulting from increased billings and collections for subscriptions, and decreases in prepaid expenses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other current and noncurrent assets of $2.8 million. These changes were offset by an increase in deferred commissions of $7.6 million and a $10.9 million increase in accounts receivable due to higher customer billings.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Net cash used in investing activities of $2.3 million for the nine months ended September 30, 2023 consisted of $1.3 million in capitalized internal-use software development costs and $1.0 million in purchases of property and equipment.</w:t>
      </w:r>
    </w:p>
    <w:p>
      <w:pPr>
        <w:spacing w:after="0" w:line="62" w:lineRule="exact"/>
        <w:rPr>
          <w:sz w:val="20"/>
          <w:szCs w:val="20"/>
          <w:color w:val="auto"/>
        </w:rPr>
      </w:pPr>
    </w:p>
    <w:p>
      <w:pPr>
        <w:ind w:right="460" w:firstLine="509"/>
        <w:spacing w:after="0" w:line="341" w:lineRule="auto"/>
        <w:rPr>
          <w:sz w:val="20"/>
          <w:szCs w:val="20"/>
          <w:color w:val="auto"/>
        </w:rPr>
      </w:pPr>
      <w:r>
        <w:rPr>
          <w:rFonts w:ascii="Arial" w:cs="Arial" w:eastAsia="Arial" w:hAnsi="Arial"/>
          <w:sz w:val="16"/>
          <w:szCs w:val="16"/>
          <w:color w:val="auto"/>
        </w:rPr>
        <w:t>Net cash used in investing activities of $64.6 million for the nine months ended September 30, 2022 consisted of $59.7 million of purchases of marketable securities, $1.5 million of capitalized internal-use software development costs, and $3.0 million in purchases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20" w:firstLine="509"/>
        <w:spacing w:after="0" w:line="311" w:lineRule="auto"/>
        <w:rPr>
          <w:sz w:val="20"/>
          <w:szCs w:val="20"/>
          <w:color w:val="auto"/>
        </w:rPr>
      </w:pPr>
      <w:r>
        <w:rPr>
          <w:rFonts w:ascii="Arial" w:cs="Arial" w:eastAsia="Arial" w:hAnsi="Arial"/>
          <w:sz w:val="16"/>
          <w:szCs w:val="16"/>
          <w:color w:val="auto"/>
        </w:rPr>
        <w:t>Net cash used in financing activities of $0.9 million for the nine months ended September 30, 2023 consisted of $3.6 million in proceeds from the exercise of stock options offset by $3.8 million in net tax remittance on equity awards primarily driven by a change in tax withholding settlement method related to vesting of RSU awards from sell-to-cover to withhold-to-cover that occurred in the three months ended September 30, 2023.</w:t>
      </w:r>
    </w:p>
    <w:p>
      <w:pPr>
        <w:spacing w:after="0" w:line="4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Net cash provided by financing activities of $5.2 million for the nine months ended September 30, 2022 primarily consisted of $6.2 million in proceeds from the exercise of stock options offset by $1.0 million of net cash used through sales of common stock to cover tax-related amounts that were remitted to the respective taxing jurisdictions in excess of cash received during the period. It is expected that cash received and paid for these amounts will be cash flow neutral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Remaining performance obligations (“RPO”) as of September 30, 2023 and 2022, including the expected timing of recognition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5"/>
              </w:rPr>
              <w:t>As of September 30,</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38"/>
        </w:trPr>
        <w:tc>
          <w:tcPr>
            <w:tcW w:w="54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 Change</w:t>
            </w:r>
          </w:p>
        </w:tc>
      </w:tr>
      <w:tr>
        <w:trPr>
          <w:trHeight w:val="254"/>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or equal to 12 months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186,765</w:t>
            </w:r>
          </w:p>
        </w:tc>
        <w:tc>
          <w:tcPr>
            <w:tcW w:w="152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183,879</w:t>
            </w:r>
          </w:p>
        </w:tc>
        <w:tc>
          <w:tcPr>
            <w:tcW w:w="200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2"/>
              </w:rPr>
              <w:t>2%</w:t>
            </w: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color w:val="auto"/>
              </w:rPr>
              <w:t>Greater than 12 months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50,815</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64,211</w:t>
            </w:r>
          </w:p>
        </w:tc>
        <w:tc>
          <w:tcPr>
            <w:tcW w:w="20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(21)%</w:t>
            </w:r>
          </w:p>
        </w:tc>
      </w:tr>
      <w:tr>
        <w:trPr>
          <w:trHeight w:val="236"/>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237,580</w:t>
            </w:r>
          </w:p>
        </w:tc>
        <w:tc>
          <w:tcPr>
            <w:tcW w:w="3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248,090</w:t>
            </w:r>
          </w:p>
        </w:tc>
        <w:tc>
          <w:tcPr>
            <w:tcW w:w="2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During the nine months ended September 30, 2023, there were no material changes in our contractual obligations and other commitments outside of those disclosed in the 2022 Form 10-K. For further information on our commitments and contingencies, refer to Note 9 in the consolidated financial statements contained within the 2022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80" w:firstLine="509"/>
        <w:spacing w:after="0" w:line="271"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nine months ended September 30, 2023 as compared to those disclosed in Part II, Item 7. Management’s Discussion and Analysis of Financial Condition and Results of Operations of the 2022 Form 10-K.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cash and cash equivalents and marketable securities primarily consist of cash on hand and highly liquid investments in money market funds and U.S. government securities. As of September 30, 2023, we had cash and cash equivalents of $238.5 million and marketable securities, including non-current marketable securities, of $85.3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conditions, or the degree of compliance with the policies or procedures may deteriorate. Because of the inherent limitations in a cost-effective control system, misstatements due to error or fraud may occur and not be detected.</w:t>
      </w:r>
    </w:p>
    <w:p>
      <w:pPr>
        <w:spacing w:after="0" w:line="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49" w:right="8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“Legal Matters” in Note 9 to our condensed consolidated financial statements included in Part I, Item 1 of this Quarterly Report on Form 10-Q.</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1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62" w:lineRule="exact"/>
        <w:rPr>
          <w:sz w:val="20"/>
          <w:szCs w:val="20"/>
          <w:color w:val="auto"/>
        </w:rPr>
      </w:pPr>
    </w:p>
    <w:p>
      <w:pPr>
        <w:jc w:val="both"/>
        <w:ind w:right="400" w:firstLine="509"/>
        <w:spacing w:after="0" w:line="341" w:lineRule="auto"/>
        <w:rPr>
          <w:sz w:val="20"/>
          <w:szCs w:val="20"/>
          <w:color w:val="auto"/>
        </w:rPr>
      </w:pPr>
      <w:r>
        <w:rPr>
          <w:rFonts w:ascii="Arial" w:cs="Arial" w:eastAsia="Arial" w:hAnsi="Arial"/>
          <w:sz w:val="16"/>
          <w:szCs w:val="16"/>
          <w:color w:val="auto"/>
        </w:rPr>
        <w:t>Our revenue was $238.1 million for the fiscal year ended December 31, 2022 and $204.9 million and $172.8 million for the nine months ended September 30, 2023 and 2022, respectively. However, you should not rely on our historical revenue growth as an indication of our future performance.</w:t>
      </w:r>
    </w:p>
    <w:p>
      <w:pPr>
        <w:spacing w:after="0" w:line="124" w:lineRule="exact"/>
        <w:rPr>
          <w:sz w:val="20"/>
          <w:szCs w:val="20"/>
          <w:color w:val="auto"/>
        </w:rPr>
      </w:pPr>
    </w:p>
    <w:p>
      <w:pPr>
        <w:ind w:right="320" w:firstLine="509"/>
        <w:spacing w:after="0" w:line="307" w:lineRule="auto"/>
        <w:rPr>
          <w:sz w:val="20"/>
          <w:szCs w:val="20"/>
          <w:color w:val="auto"/>
        </w:rPr>
      </w:pPr>
      <w:r>
        <w:rPr>
          <w:rFonts w:ascii="Arial" w:cs="Arial" w:eastAsia="Arial" w:hAnsi="Arial"/>
          <w:sz w:val="17"/>
          <w:szCs w:val="17"/>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47" w:lineRule="exact"/>
        <w:rPr>
          <w:sz w:val="20"/>
          <w:szCs w:val="20"/>
          <w:color w:val="auto"/>
        </w:rPr>
      </w:pPr>
    </w:p>
    <w:p>
      <w:pPr>
        <w:ind w:right="200" w:firstLine="509"/>
        <w:spacing w:after="0" w:line="271" w:lineRule="auto"/>
        <w:rPr>
          <w:sz w:val="20"/>
          <w:szCs w:val="20"/>
          <w:color w:val="auto"/>
        </w:rPr>
      </w:pPr>
      <w:r>
        <w:rPr>
          <w:rFonts w:ascii="Arial" w:cs="Arial" w:eastAsia="Arial" w:hAnsi="Arial"/>
          <w:sz w:val="17"/>
          <w:szCs w:val="17"/>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As our costs increase, we may not be able to generate sufficient revenue to achieve and sustain profitability.</w:t>
      </w:r>
    </w:p>
    <w:p>
      <w:pPr>
        <w:spacing w:after="0" w:line="12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have experienced net losses in each period since inception. We generated net losses of $93.4 million for the fiscal year ended December 31, 2022 and $71.8 million and $69.3 million for the nine months ended September 30, 2023 and 2022, respectively. As of September 30, 2023, we had an accumulated deficit of $345.0 million. We expect our costs and expenses to increase in future periods. In particular, we intend to continue to invest significant resources in:</w:t>
      </w:r>
    </w:p>
    <w:p>
      <w:pPr>
        <w:spacing w:after="0" w:line="77" w:lineRule="exact"/>
        <w:rPr>
          <w:sz w:val="20"/>
          <w:szCs w:val="20"/>
          <w:color w:val="auto"/>
        </w:rPr>
      </w:pPr>
    </w:p>
    <w:p>
      <w:pPr>
        <w:ind w:left="1020" w:right="580" w:hanging="504"/>
        <w:spacing w:after="0" w:line="341"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16" w:lineRule="exact"/>
        <w:rPr>
          <w:rFonts w:ascii="Arial" w:cs="Arial" w:eastAsia="Arial" w:hAnsi="Arial"/>
          <w:sz w:val="16"/>
          <w:szCs w:val="16"/>
          <w:color w:val="auto"/>
        </w:rPr>
      </w:pPr>
    </w:p>
    <w:p>
      <w:pPr>
        <w:ind w:left="1020" w:right="600" w:hanging="504"/>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right="200" w:firstLine="509"/>
        <w:spacing w:after="0" w:line="275" w:lineRule="auto"/>
        <w:rPr>
          <w:sz w:val="20"/>
          <w:szCs w:val="20"/>
          <w:color w:val="auto"/>
        </w:rPr>
      </w:pPr>
      <w:r>
        <w:rPr>
          <w:rFonts w:ascii="Arial" w:cs="Arial" w:eastAsia="Arial" w:hAnsi="Arial"/>
          <w:sz w:val="17"/>
          <w:szCs w:val="17"/>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7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9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4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63"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89"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ind w:right="100" w:firstLine="509"/>
        <w:spacing w:after="0" w:line="263" w:lineRule="auto"/>
        <w:rPr>
          <w:sz w:val="20"/>
          <w:szCs w:val="20"/>
          <w:color w:val="auto"/>
        </w:rPr>
      </w:pPr>
      <w:r>
        <w:rPr>
          <w:rFonts w:ascii="Arial" w:cs="Arial" w:eastAsia="Arial" w:hAnsi="Arial"/>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75" w:lineRule="exact"/>
        <w:rPr>
          <w:sz w:val="20"/>
          <w:szCs w:val="20"/>
          <w:color w:val="auto"/>
        </w:rPr>
      </w:pPr>
    </w:p>
    <w:p>
      <w:pPr>
        <w:ind w:left="1020" w:right="80" w:hanging="504"/>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demand for, or pricing of, our Digital Analytics Platform, including as a result of our introduction of new products, features, and functionality;</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usage of our Digital Analytics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retain existing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expansion rates;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in new products, features, and functionality;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our customers’ purchases;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speed with which customers are able to migrate data onto our platform after purchasing capacity;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awareness of our brand on a global basis;</w:t>
      </w:r>
    </w:p>
    <w:p>
      <w:pPr>
        <w:spacing w:after="0" w:line="116"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features, or functionality developed or acquired by us or our competitors;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39" w:name="page40"/>
    <w:bookmarkEnd w:id="39"/>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6"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costs associated with our cloud computing infrastructure, particularly the cloud services provided by Amazon Web Services (“AWS”);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and sales and marketing expenses;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020" w:right="400" w:hanging="504"/>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to identify and complete, and the effects of, mergers, acquisitions, or strategic partnerships, and the ensuing integration efforts;</w:t>
      </w:r>
    </w:p>
    <w:p>
      <w:pPr>
        <w:spacing w:after="0" w:line="139" w:lineRule="exact"/>
        <w:rPr>
          <w:rFonts w:ascii="Arial" w:cs="Arial" w:eastAsia="Arial" w:hAnsi="Arial"/>
          <w:sz w:val="16"/>
          <w:szCs w:val="16"/>
          <w:color w:val="auto"/>
        </w:rPr>
      </w:pPr>
    </w:p>
    <w:p>
      <w:pPr>
        <w:jc w:val="both"/>
        <w:ind w:left="1020" w:right="460" w:hanging="504"/>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w:t>
      </w:r>
    </w:p>
    <w:p>
      <w:pPr>
        <w:spacing w:after="0" w:line="74"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adverse impact of climate change, natural disasters, health epidemics (including the COVID-19 pandemic), political and social instability, including acts of war or other armed conflicts (including the war in Ukraine), and terrorist activities, on our business, operations, and the markets and communities in which we and our customers and partners operate and the disruption these events may cause to the global economy;</w:t>
      </w:r>
    </w:p>
    <w:p>
      <w:pPr>
        <w:spacing w:after="0" w:line="77"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6" w:lineRule="exact"/>
        <w:rPr>
          <w:rFonts w:ascii="Arial" w:cs="Arial" w:eastAsia="Arial" w:hAnsi="Arial"/>
          <w:sz w:val="18"/>
          <w:szCs w:val="18"/>
          <w:color w:val="auto"/>
        </w:rPr>
      </w:pPr>
    </w:p>
    <w:p>
      <w:pPr>
        <w:ind w:left="1020" w:right="200" w:hanging="504"/>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74" w:lineRule="exact"/>
        <w:rPr>
          <w:rFonts w:ascii="Arial" w:cs="Arial" w:eastAsia="Arial" w:hAnsi="Arial"/>
          <w:sz w:val="18"/>
          <w:szCs w:val="18"/>
          <w:color w:val="auto"/>
        </w:rPr>
      </w:pPr>
    </w:p>
    <w:p>
      <w:pPr>
        <w:ind w:left="1020" w:right="520" w:hanging="504"/>
        <w:spacing w:after="0" w:line="307"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39" w:lineRule="exact"/>
        <w:rPr>
          <w:rFonts w:ascii="Arial" w:cs="Arial" w:eastAsia="Arial" w:hAnsi="Arial"/>
          <w:sz w:val="17"/>
          <w:szCs w:val="17"/>
          <w:color w:val="auto"/>
        </w:rPr>
      </w:pPr>
    </w:p>
    <w:p>
      <w:pPr>
        <w:ind w:left="1020" w:right="120" w:hanging="504"/>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w:t>
      </w:r>
    </w:p>
    <w:p>
      <w:pPr>
        <w:spacing w:after="0" w:line="225" w:lineRule="exact"/>
        <w:rPr>
          <w:sz w:val="20"/>
          <w:szCs w:val="20"/>
          <w:color w:val="auto"/>
        </w:rPr>
      </w:pPr>
    </w:p>
    <w:p>
      <w:pPr>
        <w:ind w:right="220" w:firstLine="509"/>
        <w:spacing w:after="0" w:line="286"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If our results of operations fall below the expectations of investors and securities analysts who follow our stock, the trading price of our Class A common stock could decline substantially, and we could face costly lawsuits, including securities class action litigation.</w:t>
      </w:r>
    </w:p>
    <w:p>
      <w:pPr>
        <w:spacing w:after="0" w:line="27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77"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Digital Analytics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competitive nature of evaluation and purchasing processes;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features, or functionality by us or our competitors;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lengthy purchasing approval processes.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62"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6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recent and potential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 Pacific region, or elsewhere, our customers and prospective customers may go out of business or elect to decrease their budgets, which would limit our ability to grow our business and materially adversely affect our financial condition and results of operations. For example, historically high levels of inflation and rising interest rates in the United States have begun to affect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in April 2023, we authorized a restructuring plan to reduce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spacing w:after="0" w:line="282"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b w:val="1"/>
          <w:bCs w:val="1"/>
          <w:i w:val="1"/>
          <w:iCs w:val="1"/>
          <w:color w:val="auto"/>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spacing w:after="0" w:line="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In April 2023, we authorized a restructuring plan to reduce our global workforce, which is intended to improve operational efficiencies and reduce operating costs, which we believe will allow us to scale for the future, continue our path to profitability, and deliver on our long-term vision. In connection with this reduction in our workforce, we incurred non-recurring charges of $8.2 million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in the nine months ended September 30, 2023.</w:t>
      </w:r>
    </w:p>
    <w:p>
      <w:pPr>
        <w:spacing w:after="0" w:line="200" w:lineRule="exact"/>
        <w:rPr>
          <w:sz w:val="20"/>
          <w:szCs w:val="20"/>
          <w:color w:val="auto"/>
        </w:rPr>
      </w:pPr>
    </w:p>
    <w:p>
      <w:pPr>
        <w:spacing w:after="0" w:line="24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Our restructuring plan may result in unintended consequences and costs, such as the loss of institutional knowledge and expertise, decreased morale among our remaining employees, and the risk that we may not achieve the anticipated benefits and savings, in full or in part, of the workforce reduction. Moreover, if employees who were not affected by the workforce reduction seek alternative employment, this could result in unplanned additional expense to ensure adequate resourcing or harm our productivity. In addition, while positions have been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our restructuring plan, or if we experience significant adverse consequences from the workforce reduction, our business, financial condition, and results of operations could be materially adversely affected.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market for SaaS applications develops more slowly than we expect or declines, our business would be materially adversely affected.</w:t>
      </w:r>
    </w:p>
    <w:p>
      <w:pPr>
        <w:spacing w:after="0" w:line="128"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75" w:lineRule="exact"/>
        <w:rPr>
          <w:sz w:val="20"/>
          <w:szCs w:val="20"/>
          <w:color w:val="auto"/>
        </w:rPr>
      </w:pPr>
    </w:p>
    <w:p>
      <w:pPr>
        <w:ind w:left="1020" w:right="200" w:hanging="504"/>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in-house software systems;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integrated systems vendors;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smaller companies offering alternative SaaS applications;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25"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losses, or the failure of our Digital Analytics Platform to achieve or maintain more widespread market acceptance, any of which could harm our business.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 w:firstLine="509"/>
        <w:spacing w:after="0" w:line="291" w:lineRule="auto"/>
        <w:rPr>
          <w:sz w:val="20"/>
          <w:szCs w:val="20"/>
          <w:color w:val="auto"/>
        </w:rPr>
      </w:pPr>
      <w:r>
        <w:rPr>
          <w:rFonts w:ascii="Arial" w:cs="Arial" w:eastAsia="Arial" w:hAnsi="Arial"/>
          <w:sz w:val="16"/>
          <w:szCs w:val="16"/>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2022 Form 10-K.</w:t>
      </w:r>
    </w:p>
    <w:p>
      <w:pPr>
        <w:spacing w:after="0" w:line="2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p>
    <w:p>
      <w:pPr>
        <w:spacing w:after="0" w:line="178"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have experienced rapid growth in our business, personnel, and operations, which has placed, and may continue to place, significant demands on our management and operational and financial resources. Unfavorable conditions in the current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to reduce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ind w:right="120"/>
        <w:spacing w:after="0" w:line="263" w:lineRule="auto"/>
        <w:rPr>
          <w:sz w:val="20"/>
          <w:szCs w:val="20"/>
          <w:color w:val="auto"/>
        </w:rPr>
      </w:pPr>
      <w:r>
        <w:rPr>
          <w:rFonts w:ascii="Arial" w:cs="Arial" w:eastAsia="Arial" w:hAnsi="Arial"/>
          <w:sz w:val="18"/>
          <w:szCs w:val="18"/>
          <w:color w:val="auto"/>
        </w:rPr>
        <w:t>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Public health crises, such as pandemics or similar outbreaks, have impacted and could continue to have an adverse impact, on our business and operations, and the markets and communities in which we, our partners, and customers operate, and the impact of the pandemic is difficult to assess or predict.</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business and operations, and the businesses and operations of our partners and customers, have been, and could in the future be, adversely impacted by public health crises, including the COVID-19 pandemic. Public health measures implemented to control COVID-19’s spread and severity substantially curtailed the movement of people, goods, and services worldwide, including regions where we and our partners and customers operate, and significantly impacted economic activity and financial markets. While we have developed and continue to develop strategies to help mitigate any continuing negative effects of the COVID-19 pandemic and other potential public health crises on our business and operations, such efforts may prove to be insufficient to adequately address the negative impacts of the COVID-19 pandemic and other potential public health crises. The duration and extent of the impact of the COVID-19 pandemic and other potential public health crises cannot be accurately assessed or predicted at this time, and could adversely impact our business, financial condition, and results of operations.</w:t>
      </w:r>
    </w:p>
    <w:p>
      <w:pPr>
        <w:spacing w:after="0" w:line="200" w:lineRule="exact"/>
        <w:rPr>
          <w:sz w:val="20"/>
          <w:szCs w:val="20"/>
          <w:color w:val="auto"/>
        </w:rPr>
      </w:pPr>
    </w:p>
    <w:p>
      <w:pPr>
        <w:spacing w:after="0" w:line="30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7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platform stores, transmits, and processes our customers’ proprietary data, including personal or identifying information of their customers or employees. Unauthorized disclosure of,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79"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Despite the implementation of security measures, our information technology systems, as well as those of third parties with which we have relationships, are vulnerable to attack and damage from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p>
    <w:p>
      <w:pPr>
        <w:spacing w:after="0" w:line="172"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0"/>
        <w:spacing w:after="0" w:line="270" w:lineRule="auto"/>
        <w:rPr>
          <w:sz w:val="20"/>
          <w:szCs w:val="20"/>
          <w:color w:val="auto"/>
        </w:rPr>
      </w:pPr>
      <w:r>
        <w:rPr>
          <w:rFonts w:ascii="Arial" w:cs="Arial" w:eastAsia="Arial" w:hAnsi="Arial"/>
          <w:sz w:val="17"/>
          <w:szCs w:val="17"/>
          <w:color w:val="auto"/>
        </w:rPr>
        <w:t>disruptions. Such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78"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275"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17"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75"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60" w:firstLine="509"/>
        <w:spacing w:after="0" w:line="273" w:lineRule="auto"/>
        <w:rPr>
          <w:sz w:val="20"/>
          <w:szCs w:val="20"/>
          <w:color w:val="auto"/>
        </w:rPr>
      </w:pPr>
      <w:r>
        <w:rPr>
          <w:rFonts w:ascii="Arial" w:cs="Arial" w:eastAsia="Arial" w:hAnsi="Arial"/>
          <w:sz w:val="17"/>
          <w:szCs w:val="17"/>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7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materially adversely affect our business and growth prospects.</w:t>
      </w:r>
    </w:p>
    <w:p>
      <w:pPr>
        <w:spacing w:after="0" w:line="117"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7"/>
          <w:szCs w:val="17"/>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6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3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75"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160"/>
        <w:spacing w:after="0" w:line="277" w:lineRule="auto"/>
        <w:rPr>
          <w:sz w:val="20"/>
          <w:szCs w:val="20"/>
          <w:color w:val="auto"/>
        </w:rPr>
      </w:pPr>
      <w:r>
        <w:rPr>
          <w:rFonts w:ascii="Arial" w:cs="Arial" w:eastAsia="Arial" w:hAnsi="Arial"/>
          <w:sz w:val="18"/>
          <w:szCs w:val="18"/>
          <w:color w:val="auto"/>
        </w:rPr>
        <w:t>and demand, then our Digital Analytics Platform may become less marketable, less competitive, or obsolete, and our business, financial condition, results of operations, and growth prospects could be materially adversely affected.</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62"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86" w:lineRule="exact"/>
        <w:rPr>
          <w:sz w:val="20"/>
          <w:szCs w:val="20"/>
          <w:color w:val="auto"/>
        </w:rPr>
      </w:pPr>
    </w:p>
    <w:p>
      <w:pPr>
        <w:ind w:right="420"/>
        <w:spacing w:after="0" w:line="307" w:lineRule="auto"/>
        <w:rPr>
          <w:sz w:val="20"/>
          <w:szCs w:val="20"/>
          <w:color w:val="auto"/>
        </w:rPr>
      </w:pPr>
      <w:r>
        <w:rPr>
          <w:rFonts w:ascii="Arial" w:cs="Arial" w:eastAsia="Arial" w:hAnsi="Arial"/>
          <w:sz w:val="17"/>
          <w:szCs w:val="17"/>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3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6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9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680"/>
        <w:spacing w:after="0" w:line="277" w:lineRule="auto"/>
        <w:rPr>
          <w:sz w:val="20"/>
          <w:szCs w:val="20"/>
          <w:color w:val="auto"/>
        </w:rPr>
      </w:pPr>
      <w:r>
        <w:rPr>
          <w:rFonts w:ascii="Arial" w:cs="Arial" w:eastAsia="Arial" w:hAnsi="Arial"/>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78"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7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and enhance our brand, our business, financial condition, and results of operations may be materially adversely affected.</w:t>
      </w:r>
    </w:p>
    <w:p>
      <w:pPr>
        <w:spacing w:after="0" w:line="151"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perception of our Digital Analytics Platform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0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ind w:right="540"/>
        <w:spacing w:after="0" w:line="277" w:lineRule="auto"/>
        <w:rPr>
          <w:sz w:val="20"/>
          <w:szCs w:val="20"/>
          <w:color w:val="auto"/>
        </w:rPr>
      </w:pPr>
      <w:r>
        <w:rPr>
          <w:rFonts w:ascii="Arial" w:cs="Arial" w:eastAsia="Arial" w:hAnsi="Arial"/>
          <w:sz w:val="18"/>
          <w:szCs w:val="18"/>
          <w:color w:val="auto"/>
        </w:rPr>
        <w:t>competitors, and we could lose customers or fail to attract potential customers, all of which would materially adversely affect our business,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international in scope, and we plan further geographic expansion, creating a variety of operational challenges.</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For each of the year ended December 31, 2022 and the nine months ended September 30, 2023 and 2022, 38%, 39% and 38%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slower than anticipated public cloud adoption by international businesses;</w:t>
      </w:r>
    </w:p>
    <w:p>
      <w:pPr>
        <w:spacing w:after="0" w:line="116" w:lineRule="exact"/>
        <w:rPr>
          <w:rFonts w:ascii="Arial" w:cs="Arial" w:eastAsia="Arial" w:hAnsi="Arial"/>
          <w:sz w:val="18"/>
          <w:szCs w:val="18"/>
          <w:color w:val="auto"/>
        </w:rPr>
      </w:pPr>
    </w:p>
    <w:p>
      <w:pPr>
        <w:ind w:left="1020" w:right="300" w:hanging="504"/>
        <w:spacing w:after="0" w:line="307"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39" w:lineRule="exact"/>
        <w:rPr>
          <w:rFonts w:ascii="Arial" w:cs="Arial" w:eastAsia="Arial" w:hAnsi="Arial"/>
          <w:sz w:val="17"/>
          <w:szCs w:val="17"/>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adapt and localize our Digital Analytics Platform for specific countries;</w:t>
      </w:r>
    </w:p>
    <w:p>
      <w:pPr>
        <w:spacing w:after="0" w:line="116" w:lineRule="exact"/>
        <w:rPr>
          <w:rFonts w:ascii="Arial" w:cs="Arial" w:eastAsia="Arial" w:hAnsi="Arial"/>
          <w:sz w:val="18"/>
          <w:szCs w:val="18"/>
          <w:color w:val="auto"/>
        </w:rPr>
      </w:pPr>
    </w:p>
    <w:p>
      <w:pPr>
        <w:ind w:left="1020" w:right="280" w:hanging="50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payment cycles and greater difficulty enforcing contracts, collecting accounts receivable, or satisfying revenue recognition criteria, especially in emerging markets;</w:t>
      </w:r>
    </w:p>
    <w:p>
      <w:pPr>
        <w:spacing w:after="0" w:line="61" w:lineRule="exact"/>
        <w:rPr>
          <w:rFonts w:ascii="Arial" w:cs="Arial" w:eastAsia="Arial" w:hAnsi="Arial"/>
          <w:sz w:val="18"/>
          <w:szCs w:val="18"/>
          <w:color w:val="auto"/>
        </w:rPr>
      </w:pPr>
    </w:p>
    <w:p>
      <w:pPr>
        <w:ind w:left="1020" w:right="80" w:hanging="50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evolving, and more stringent regulations relating to privacy and data security and the unauthorized use of, or access to, commercial and personal information, particularly in Europe;</w:t>
      </w:r>
    </w:p>
    <w:p>
      <w:pPr>
        <w:spacing w:after="0" w:line="61" w:lineRule="exact"/>
        <w:rPr>
          <w:rFonts w:ascii="Arial" w:cs="Arial" w:eastAsia="Arial" w:hAnsi="Arial"/>
          <w:sz w:val="18"/>
          <w:szCs w:val="18"/>
          <w:color w:val="auto"/>
        </w:rPr>
      </w:pPr>
    </w:p>
    <w:p>
      <w:pPr>
        <w:ind w:left="1020" w:right="700" w:hanging="504"/>
        <w:spacing w:after="0" w:line="341"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16" w:lineRule="exact"/>
        <w:rPr>
          <w:rFonts w:ascii="Arial" w:cs="Arial" w:eastAsia="Arial" w:hAnsi="Arial"/>
          <w:sz w:val="16"/>
          <w:szCs w:val="16"/>
          <w:color w:val="auto"/>
        </w:rPr>
      </w:pPr>
    </w:p>
    <w:p>
      <w:pPr>
        <w:ind w:left="1020" w:hanging="504"/>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4"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6" w:lineRule="exact"/>
        <w:rPr>
          <w:rFonts w:ascii="Arial" w:cs="Arial" w:eastAsia="Arial" w:hAnsi="Arial"/>
          <w:sz w:val="18"/>
          <w:szCs w:val="18"/>
          <w:color w:val="auto"/>
        </w:rPr>
      </w:pPr>
    </w:p>
    <w:p>
      <w:pPr>
        <w:ind w:left="1020" w:right="480" w:hanging="50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choose to do so in the future;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6"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1" w:lineRule="exact"/>
        <w:rPr>
          <w:rFonts w:ascii="Arial" w:cs="Arial" w:eastAsia="Arial" w:hAnsi="Arial"/>
          <w:sz w:val="18"/>
          <w:szCs w:val="18"/>
          <w:color w:val="auto"/>
        </w:rPr>
      </w:pPr>
    </w:p>
    <w:p>
      <w:pPr>
        <w:ind w:left="1020" w:right="380" w:hanging="504"/>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 epidemics, or other global political, social, or macroeconomic events, including the war in Ukraine, that could decrease economic activity in certain markets, decrease use of our products and services, or decrease our ability to import, export, or sell our products and services to existing or new customers in international markets;</w:t>
      </w:r>
    </w:p>
    <w:p>
      <w:pPr>
        <w:spacing w:after="0" w:line="74" w:lineRule="exact"/>
        <w:rPr>
          <w:rFonts w:ascii="Arial" w:cs="Arial" w:eastAsia="Arial" w:hAnsi="Arial"/>
          <w:sz w:val="18"/>
          <w:szCs w:val="18"/>
          <w:color w:val="auto"/>
        </w:rPr>
      </w:pPr>
    </w:p>
    <w:p>
      <w:pPr>
        <w:ind w:left="1020" w:right="40" w:hanging="504"/>
        <w:spacing w:after="0" w:line="286"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56" w:lineRule="exact"/>
        <w:rPr>
          <w:rFonts w:ascii="Arial" w:cs="Arial" w:eastAsia="Arial" w:hAnsi="Arial"/>
          <w:sz w:val="17"/>
          <w:szCs w:val="17"/>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or preferences for domestic products;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technical standards, existing or future regulatory and certification requirements, and required features and functionality;</w:t>
      </w:r>
    </w:p>
    <w:p>
      <w:pPr>
        <w:spacing w:after="0" w:line="116" w:lineRule="exact"/>
        <w:rPr>
          <w:rFonts w:ascii="Arial" w:cs="Arial" w:eastAsia="Arial" w:hAnsi="Arial"/>
          <w:sz w:val="18"/>
          <w:szCs w:val="18"/>
          <w:color w:val="auto"/>
        </w:rPr>
      </w:pPr>
    </w:p>
    <w:p>
      <w:pPr>
        <w:ind w:left="1020" w:right="180" w:hanging="504"/>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61"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 in Ukraine could materially adversely affect our business, results of operations, and financial condition.</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200" w:lineRule="exact"/>
        <w:rPr>
          <w:sz w:val="20"/>
          <w:szCs w:val="20"/>
          <w:color w:val="auto"/>
        </w:rPr>
      </w:pPr>
    </w:p>
    <w:p>
      <w:pPr>
        <w:spacing w:after="0" w:line="20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w:t>
      </w:r>
    </w:p>
    <w:p>
      <w:pPr>
        <w:spacing w:after="0" w:line="363"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for some time to derive, substantially all of our revenue from our Amplitude Analytics product.</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Although we have released our Amplitude CDP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75"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For the year ended December 31, 2022 and the nine months ended September 30, 2023 and 2022, our research and development expenses were 34%, 33%, and 34%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agree to indemnify customers and other third parties, which exposes us to substantial potential liability.</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4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do not know when or if our operations will generate sufficient cash to fully fund our ongoing operations or the growth of our business. 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7" w:lineRule="exact"/>
        <w:rPr>
          <w:sz w:val="20"/>
          <w:szCs w:val="20"/>
          <w:color w:val="auto"/>
        </w:rPr>
      </w:pPr>
    </w:p>
    <w:p>
      <w:pPr>
        <w:ind w:left="1020" w:right="14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uncertainty in, and evolution of, legal standards relating to the validity, enforceability, and scope of protection of intellectual property rights;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invalidation of our intellectual property rights through administrative processes or litigation;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inability by us to detect infringement or other misappropriation of our intellectual property rights by third parties;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practical, resource, or business limitations on our ability to enforce our rights.</w:t>
      </w:r>
    </w:p>
    <w:p>
      <w:pPr>
        <w:spacing w:after="0" w:line="22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300" w:firstLine="509"/>
        <w:spacing w:after="0" w:line="301"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5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intellectual property litigation to which we become a party may require us to do one or more of the following:</w:t>
      </w:r>
    </w:p>
    <w:p>
      <w:pPr>
        <w:spacing w:after="0" w:line="117" w:lineRule="exact"/>
        <w:rPr>
          <w:sz w:val="20"/>
          <w:szCs w:val="20"/>
          <w:color w:val="auto"/>
        </w:rPr>
      </w:pPr>
    </w:p>
    <w:p>
      <w:pPr>
        <w:ind w:left="1020" w:right="108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cease selling, licensing, or using products or features that incorporate the intellectual property rights that we allegedly infringe, misappropriate, or violate;</w:t>
      </w:r>
    </w:p>
    <w:p>
      <w:pPr>
        <w:spacing w:after="0" w:line="61"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subscription fee refunds, or other costs or damages, including indemnification of third parties;</w:t>
      </w:r>
    </w:p>
    <w:p>
      <w:pPr>
        <w:spacing w:after="0" w:line="61"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61"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6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96"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platform and subject us to possible litigation.</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control, economic, and trade sanctions, and anti-corruption laws and regulations, which may expose us to liability and increase our costs.</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7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3" w:name="page54"/>
    <w:bookmarkEnd w:id="53"/>
    <w:p>
      <w:pPr>
        <w:ind w:right="520"/>
        <w:spacing w:after="0" w:line="277" w:lineRule="auto"/>
        <w:rPr>
          <w:sz w:val="20"/>
          <w:szCs w:val="20"/>
          <w:color w:val="auto"/>
        </w:rPr>
      </w:pPr>
      <w:r>
        <w:rPr>
          <w:rFonts w:ascii="Arial" w:cs="Arial" w:eastAsia="Arial" w:hAnsi="Arial"/>
          <w:sz w:val="18"/>
          <w:szCs w:val="18"/>
          <w:color w:val="auto"/>
        </w:rPr>
        <w:t>complaints, adverse media coverage, and investigations, any of which could have a material adverse effect on our reputation, business, and results of operations.</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62" w:lineRule="exact"/>
        <w:rPr>
          <w:sz w:val="20"/>
          <w:szCs w:val="20"/>
          <w:color w:val="auto"/>
        </w:rPr>
      </w:pPr>
    </w:p>
    <w:p>
      <w:pPr>
        <w:ind w:left="1020" w:right="46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sanctions on some of the largest state-owned and private Russian financial institutions (and their subsequent removal from the Society for Worldwide Interbank Financial Telecommunication (“SWIFT”) payment system);</w:t>
      </w:r>
    </w:p>
    <w:p>
      <w:pPr>
        <w:spacing w:after="0" w:line="61"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61"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sanctions against certain Russian businessmen and their businesses, some of which have significant financial and trade ties to the European Union;</w:t>
      </w:r>
    </w:p>
    <w:p>
      <w:pPr>
        <w:spacing w:after="0" w:line="61"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sectoral sanctions in various sectors of the Russian and Belarusian economies and the defense sector;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United Kingdom sanctions introducing restrictions on providing loans to, and dealing in securities issued by, persons connected with Russia;</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restrictions on access to the financial and capital markets in the European Union, as well as prohibitions on aircraft leasing operations;</w:t>
      </w:r>
    </w:p>
    <w:p>
      <w:pPr>
        <w:spacing w:after="0" w:line="128" w:lineRule="exact"/>
        <w:rPr>
          <w:rFonts w:ascii="Arial" w:cs="Arial" w:eastAsia="Arial" w:hAnsi="Arial"/>
          <w:sz w:val="17"/>
          <w:szCs w:val="17"/>
          <w:color w:val="auto"/>
        </w:rPr>
      </w:pPr>
    </w:p>
    <w:p>
      <w:pPr>
        <w:jc w:val="both"/>
        <w:ind w:left="1020" w:right="220" w:hanging="504"/>
        <w:spacing w:after="0" w:line="286"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sanctions prohibiting most commercial activities of U.S., U.K., and E.U. persons in the so-called People’s Republic of Donetsk and the so-called People’s Republic of Luhansk (and, with respect to the E.U., the areas of Kherson and Zaporizhzhia not controlled by the Ukrainian government), with all of these new restrictions largely tracking prior prohibitions relating to Crimea and Sevastopol;</w:t>
      </w:r>
    </w:p>
    <w:p>
      <w:pPr>
        <w:spacing w:after="0" w:line="56" w:lineRule="exact"/>
        <w:rPr>
          <w:rFonts w:ascii="Arial" w:cs="Arial" w:eastAsia="Arial" w:hAnsi="Arial"/>
          <w:sz w:val="17"/>
          <w:szCs w:val="17"/>
          <w:color w:val="auto"/>
        </w:rPr>
      </w:pPr>
    </w:p>
    <w:p>
      <w:pPr>
        <w:ind w:left="1020" w:right="20" w:hanging="504"/>
        <w:spacing w:after="0" w:line="275"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66" w:lineRule="exact"/>
        <w:rPr>
          <w:rFonts w:ascii="Arial" w:cs="Arial" w:eastAsia="Arial" w:hAnsi="Arial"/>
          <w:sz w:val="17"/>
          <w:szCs w:val="17"/>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closure of airspace to Russian aircraft;</w:t>
      </w:r>
    </w:p>
    <w:p>
      <w:pPr>
        <w:spacing w:after="0" w:line="116"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 on imports of Russian oil, liquefied natural gas, and coal to the United States and on “new investment” in Russia’s energy sector (often with similar bans being enacted in the United Kingdom and the E.U.);</w:t>
      </w:r>
    </w:p>
    <w:p>
      <w:pPr>
        <w:spacing w:after="0" w:line="61" w:lineRule="exact"/>
        <w:rPr>
          <w:rFonts w:ascii="Arial" w:cs="Arial" w:eastAsia="Arial" w:hAnsi="Arial"/>
          <w:sz w:val="18"/>
          <w:szCs w:val="18"/>
          <w:color w:val="auto"/>
        </w:rPr>
      </w:pPr>
    </w:p>
    <w:p>
      <w:pPr>
        <w:ind w:left="1020" w:right="46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 on imports of Russian fish, seafood, and preparations thereof, alcoholic beverages, non-industrial diamonds, and gold to the United States;</w:t>
      </w:r>
    </w:p>
    <w:p>
      <w:pPr>
        <w:spacing w:after="0" w:line="61" w:lineRule="exact"/>
        <w:rPr>
          <w:rFonts w:ascii="Arial" w:cs="Arial" w:eastAsia="Arial" w:hAnsi="Arial"/>
          <w:sz w:val="18"/>
          <w:szCs w:val="18"/>
          <w:color w:val="auto"/>
        </w:rPr>
      </w:pPr>
    </w:p>
    <w:p>
      <w:pPr>
        <w:ind w:left="1020" w:right="34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ban on “new investment” in the Russian Federation by a U.S. person, which may be interpreted broadly (with a similar prohibition also enacted by the United Kingdom);</w:t>
      </w:r>
    </w:p>
    <w:p>
      <w:pPr>
        <w:spacing w:after="0" w:line="61" w:lineRule="exact"/>
        <w:rPr>
          <w:rFonts w:ascii="Arial" w:cs="Arial" w:eastAsia="Arial" w:hAnsi="Arial"/>
          <w:sz w:val="18"/>
          <w:szCs w:val="18"/>
          <w:color w:val="auto"/>
        </w:rPr>
      </w:pPr>
    </w:p>
    <w:p>
      <w:pPr>
        <w:ind w:left="1020" w:right="60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bans on the provision of certain professional services, including accounting, trust and corporate formation, auditing, and management consulting services, among others; and</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bans on the provision of services related to the worldwide maritime transportation of seaborne Russian oil, if purchased above a specific price cap.</w:t>
      </w:r>
    </w:p>
    <w:p>
      <w:pPr>
        <w:spacing w:after="0" w:line="16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40" w:firstLine="509"/>
        <w:spacing w:after="0" w:line="255" w:lineRule="auto"/>
        <w:rPr>
          <w:sz w:val="20"/>
          <w:szCs w:val="20"/>
          <w:color w:val="auto"/>
        </w:rPr>
      </w:pPr>
      <w:r>
        <w:rPr>
          <w:rFonts w:ascii="Arial" w:cs="Arial" w:eastAsia="Arial" w:hAnsi="Arial"/>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9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90"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2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16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may incur significant expenses to comply with the laws, regulations, and other obligations that apply to us. For example, the GDPR went into effect in May 2018 and imposes stringent data protection requirements for processing the personal data of individuals,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currently rely on the EU standard contractual clauses and the UK Addendum to the EU standard contractual clauses to transfer personal data outside the EEA and its member states, the UK, and/or Switzerland, including to the United States.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spacing w:after="0" w:line="17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Since the beginning of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w:t>
      </w:r>
    </w:p>
    <w:p>
      <w:pPr>
        <w:spacing w:after="0" w:line="183"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82"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of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spacing w:after="0" w:line="17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8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Tax and Accounting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67" w:lineRule="exact"/>
        <w:rPr>
          <w:sz w:val="20"/>
          <w:szCs w:val="20"/>
          <w:color w:val="auto"/>
        </w:rPr>
      </w:pPr>
    </w:p>
    <w:p>
      <w:pPr>
        <w:ind w:right="400" w:firstLine="509"/>
        <w:spacing w:after="0" w:line="296" w:lineRule="auto"/>
        <w:rPr>
          <w:sz w:val="20"/>
          <w:szCs w:val="20"/>
          <w:color w:val="auto"/>
        </w:rPr>
      </w:pPr>
      <w:r>
        <w:rPr>
          <w:rFonts w:ascii="Arial" w:cs="Arial" w:eastAsia="Arial" w:hAnsi="Arial"/>
          <w:sz w:val="16"/>
          <w:szCs w:val="16"/>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1"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In addition, over the past several years, the Organisation for Economic Co-operation and Development (the “OECD”) has been working on a base erosion and profit shifting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2021 and have determined that none of our NOLs generated through December 31, 2021, will expire solely due to Section 382 limitations caused by ownership changes prior to December 31, 2021. However, we may have experienced ownership changes after December 31, 2021, and may experience ownership changes as a result of subsequent shifts in our stock ownership, some of which may be outside of our control. Such a change or changes could limit the amount of NOLs that we can utilize annually to offset future taxable income. Subsequent changes to the U.S. tax rules in respect of the utilization of NOLs may further affect the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ind w:right="80"/>
        <w:spacing w:after="0" w:line="277" w:lineRule="auto"/>
        <w:rPr>
          <w:sz w:val="20"/>
          <w:szCs w:val="20"/>
          <w:color w:val="auto"/>
        </w:rPr>
      </w:pPr>
      <w:r>
        <w:rPr>
          <w:rFonts w:ascii="Arial" w:cs="Arial" w:eastAsia="Arial" w:hAnsi="Arial"/>
          <w:sz w:val="18"/>
          <w:szCs w:val="18"/>
          <w:color w:val="auto"/>
        </w:rPr>
        <w:t>limitation in future years. In addition, at the state level, there may be periods during which the use of NOLs is suspended or otherwise limited, which could accelerate or permanently increase state taxes owed.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 material adverse effect on our results of operations.</w:t>
      </w:r>
    </w:p>
    <w:p>
      <w:pPr>
        <w:spacing w:after="0" w:line="117"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020" w:hanging="504"/>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39" w:lineRule="exact"/>
        <w:rPr>
          <w:rFonts w:ascii="Arial" w:cs="Arial" w:eastAsia="Arial" w:hAnsi="Arial"/>
          <w:sz w:val="16"/>
          <w:szCs w:val="16"/>
          <w:color w:val="auto"/>
        </w:rPr>
      </w:pPr>
    </w:p>
    <w:p>
      <w:pPr>
        <w:ind w:left="1020" w:hanging="504"/>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such as the Tax Cuts and Jobs Act, the Coronavirus Aid, Relief, and Economic Security Act, and the Inflation Reduction Act;</w:t>
      </w:r>
    </w:p>
    <w:p>
      <w:pPr>
        <w:spacing w:after="0" w:line="61" w:lineRule="exact"/>
        <w:rPr>
          <w:rFonts w:ascii="Arial" w:cs="Arial" w:eastAsia="Arial" w:hAnsi="Arial"/>
          <w:sz w:val="18"/>
          <w:szCs w:val="18"/>
          <w:color w:val="auto"/>
        </w:rPr>
      </w:pPr>
    </w:p>
    <w:p>
      <w:pPr>
        <w:ind w:left="1020" w:right="280" w:hanging="504"/>
        <w:spacing w:after="0" w:line="307"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9"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materially adversely affect our results of operations.</w:t>
      </w:r>
    </w:p>
    <w:p>
      <w:pPr>
        <w:spacing w:after="0" w:line="225"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6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7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that online sellers can be required to collect sales and use tax despite not having a physical presence in the buyer’s state. In response to </w:t>
      </w:r>
      <w:r>
        <w:rPr>
          <w:rFonts w:ascii="Arial" w:cs="Arial" w:eastAsia="Arial" w:hAnsi="Arial"/>
          <w:sz w:val="17"/>
          <w:szCs w:val="17"/>
          <w:i w:val="1"/>
          <w:iCs w:val="1"/>
          <w:color w:val="auto"/>
        </w:rPr>
        <w:t>Wayfair</w:t>
      </w:r>
      <w:r>
        <w:rPr>
          <w:rFonts w:ascii="Arial" w:cs="Arial" w:eastAsia="Arial" w:hAnsi="Arial"/>
          <w:sz w:val="17"/>
          <w:szCs w:val="17"/>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8"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U.S. generally accepted accounting principles (“U.S. GAAP”) are subject to interpretation by the Financial Accounting Standards Board, the Securities and Exchange Commission (the “SEC”), and various bodies formed to promulgate and interpret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260"/>
        <w:spacing w:after="0" w:line="277" w:lineRule="auto"/>
        <w:rPr>
          <w:sz w:val="20"/>
          <w:szCs w:val="20"/>
          <w:color w:val="auto"/>
        </w:rPr>
      </w:pPr>
      <w:r>
        <w:rPr>
          <w:rFonts w:ascii="Arial" w:cs="Arial" w:eastAsia="Arial" w:hAnsi="Arial"/>
          <w:sz w:val="18"/>
          <w:szCs w:val="18"/>
          <w:color w:val="auto"/>
        </w:rPr>
        <w:t>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has been, and in the future, may be, volatile, and could decline significantly and rapidly.</w:t>
      </w:r>
    </w:p>
    <w:p>
      <w:pPr>
        <w:spacing w:after="0" w:line="128"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62" w:lineRule="exact"/>
        <w:rPr>
          <w:sz w:val="20"/>
          <w:szCs w:val="20"/>
          <w:color w:val="auto"/>
        </w:rPr>
      </w:pPr>
    </w:p>
    <w:p>
      <w:pPr>
        <w:ind w:left="1020" w:hanging="504"/>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results of operations, or operating metrics and those of our competitors;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 or our failure to meet these projections;</w:t>
      </w:r>
    </w:p>
    <w:p>
      <w:pPr>
        <w:spacing w:after="0" w:line="116"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pricing of our Digital Analytics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or regulations applicable to our Digital Analytics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board of directors, senior management, or key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left="1020" w:right="22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61"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the war in Ukraine), incidents of terrorism, pandemics (including the COVID-19 pandemic), elections, or responses to these events; and</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69"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We may be the target of this type of litigation in the future, which could result in substantial expenses and divert our management’s attention.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principal stockholders have the ability to influence the outcome of director elections and other matters requiring stockholder approval.</w:t>
      </w:r>
    </w:p>
    <w:p>
      <w:pPr>
        <w:spacing w:after="0" w:line="14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3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7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trading price of our Class A common stock.</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have announced restrictions on including</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80"/>
        <w:spacing w:after="0" w:line="296" w:lineRule="auto"/>
        <w:rPr>
          <w:sz w:val="20"/>
          <w:szCs w:val="20"/>
          <w:color w:val="auto"/>
        </w:rPr>
      </w:pPr>
      <w:r>
        <w:rPr>
          <w:rFonts w:ascii="Arial" w:cs="Arial" w:eastAsia="Arial" w:hAnsi="Arial"/>
          <w:sz w:val="16"/>
          <w:szCs w:val="16"/>
          <w:color w:val="auto"/>
        </w:rPr>
        <w:t>companies with multiple class share structures in certain of their indices. In July 2017, FTSE Russell and Standard &amp; Poor’s announced that they would cease to allow most newly public companies utilizing dual or multiple 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6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75"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our securityholders are subject to any contractual lock-up or other contractual restriction on the transfer or sale of their shares.</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5"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In addition, we have filed registration statements to register all shares subject to options and RSUs outstanding or reserved for future issuance under our equity compensation plans. As of September 30, 2023, we had options outstanding that, if fully exercised, would result in the issuance of 14,941,912 shares of Class A common stock, as well as 11,661,484 shares of Class A common stock subject to RSU awards.</w:t>
      </w:r>
    </w:p>
    <w:p>
      <w:pPr>
        <w:spacing w:after="0" w:line="164"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Accordingly, these shares will be able to be freely sold in the public market upon issuance, subject to applicable vesting requirements and compliance by affiliates with Rule 144.</w:t>
      </w:r>
    </w:p>
    <w:p>
      <w:pPr>
        <w:spacing w:after="0" w:line="169"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6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6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b w:val="1"/>
          <w:bCs w:val="1"/>
          <w:i w:val="1"/>
          <w:iCs w:val="1"/>
          <w:color w:val="auto"/>
        </w:rPr>
        <w:t>We are no longer an “emerging growth company,” and, as a result, we now must comply with increased reporting and disclosure requirements, which may increase our costs.</w:t>
      </w:r>
    </w:p>
    <w:p>
      <w:pPr>
        <w:spacing w:after="0" w:line="27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no longer qualify as an “emerging growth company” within the meaning of the Securities Act, as modified by the Jumpstart Our Business Startups Act of 2012 (the “JOBS Act”) and, as a result, are subject to various disclosure and compliance requirements that did not previously apply, such as:</w:t>
      </w:r>
    </w:p>
    <w:p>
      <w:pPr>
        <w:spacing w:after="0" w:line="75" w:lineRule="exact"/>
        <w:rPr>
          <w:sz w:val="20"/>
          <w:szCs w:val="20"/>
          <w:color w:val="auto"/>
        </w:rPr>
      </w:pPr>
    </w:p>
    <w:p>
      <w:pPr>
        <w:ind w:left="1020" w:right="58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 (the “Sarbanes-Oxley Act”);</w:t>
      </w:r>
    </w:p>
    <w:p>
      <w:pPr>
        <w:spacing w:after="0" w:line="61" w:lineRule="exact"/>
        <w:rPr>
          <w:rFonts w:ascii="Arial" w:cs="Arial" w:eastAsia="Arial" w:hAnsi="Arial"/>
          <w:sz w:val="18"/>
          <w:szCs w:val="18"/>
          <w:color w:val="auto"/>
        </w:rPr>
      </w:pPr>
    </w:p>
    <w:p>
      <w:pPr>
        <w:ind w:left="1020" w:right="22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we adopt new or revised accounting standards when they are applicable to public companies, instead of delaying their adoption until they are applicable to private companies;</w:t>
      </w:r>
    </w:p>
    <w:p>
      <w:pPr>
        <w:spacing w:after="0" w:line="61" w:lineRule="exact"/>
        <w:rPr>
          <w:rFonts w:ascii="Arial" w:cs="Arial" w:eastAsia="Arial" w:hAnsi="Arial"/>
          <w:sz w:val="18"/>
          <w:szCs w:val="18"/>
          <w:color w:val="auto"/>
        </w:rPr>
      </w:pPr>
    </w:p>
    <w:p>
      <w:pPr>
        <w:ind w:left="1020" w:right="160" w:hanging="504"/>
        <w:spacing w:after="0" w:line="307"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compliance with any requirement that may be adopted by the Public Company Accounting Oversight Board regarding obligatory audit firm rotation or a supplement to the auditor’s report providing additional information about the audit and the financial statements;</w:t>
      </w:r>
    </w:p>
    <w:p>
      <w:pPr>
        <w:spacing w:after="0" w:line="39" w:lineRule="exact"/>
        <w:rPr>
          <w:rFonts w:ascii="Arial" w:cs="Arial" w:eastAsia="Arial" w:hAnsi="Arial"/>
          <w:sz w:val="17"/>
          <w:szCs w:val="17"/>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16" w:lineRule="exact"/>
        <w:rPr>
          <w:rFonts w:ascii="Arial" w:cs="Arial" w:eastAsia="Arial" w:hAnsi="Arial"/>
          <w:sz w:val="18"/>
          <w:szCs w:val="18"/>
          <w:color w:val="auto"/>
        </w:rPr>
      </w:pPr>
    </w:p>
    <w:p>
      <w:pPr>
        <w:ind w:left="1020" w:right="68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3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expect that the loss of emerging growth company status and compliance with these additional requirements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trading price of our Class A common stock could decline and we could be subject to sanctions or investigations by Nasdaq, the SEC or other regulatory authorities, which would require additional financial and management resources.</w:t>
      </w:r>
    </w:p>
    <w:p>
      <w:pPr>
        <w:spacing w:after="0" w:line="200" w:lineRule="exact"/>
        <w:rPr>
          <w:sz w:val="20"/>
          <w:szCs w:val="20"/>
          <w:color w:val="auto"/>
        </w:rPr>
      </w:pPr>
    </w:p>
    <w:p>
      <w:pPr>
        <w:spacing w:after="0" w:line="314"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39" w:lineRule="exact"/>
        <w:rPr>
          <w:sz w:val="20"/>
          <w:szCs w:val="20"/>
          <w:color w:val="auto"/>
        </w:rPr>
      </w:pPr>
    </w:p>
    <w:p>
      <w:pPr>
        <w:ind w:right="240" w:firstLine="509"/>
        <w:spacing w:after="0" w:line="341"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17" w:lineRule="exact"/>
        <w:rPr>
          <w:sz w:val="20"/>
          <w:szCs w:val="20"/>
          <w:color w:val="auto"/>
        </w:rPr>
      </w:pPr>
    </w:p>
    <w:p>
      <w:pPr>
        <w:ind w:left="1020" w:right="20" w:hanging="50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16"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16"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9"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spacing w:after="0" w:line="256" w:lineRule="auto"/>
        <w:rPr>
          <w:sz w:val="20"/>
          <w:szCs w:val="20"/>
          <w:color w:val="auto"/>
        </w:rPr>
      </w:pPr>
      <w:r>
        <w:rPr>
          <w:rFonts w:ascii="Arial" w:cs="Arial" w:eastAsia="Arial" w:hAnsi="Arial"/>
          <w:sz w:val="18"/>
          <w:szCs w:val="18"/>
          <w:color w:val="auto"/>
        </w:rPr>
        <w:t>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69"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62" w:lineRule="exact"/>
        <w:rPr>
          <w:sz w:val="20"/>
          <w:szCs w:val="20"/>
          <w:color w:val="auto"/>
        </w:rPr>
      </w:pPr>
    </w:p>
    <w:p>
      <w:pPr>
        <w:ind w:left="1020" w:right="80" w:hanging="504"/>
        <w:spacing w:after="0" w:line="279"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61" w:lineRule="exact"/>
        <w:rPr>
          <w:rFonts w:ascii="Arial" w:cs="Arial" w:eastAsia="Arial" w:hAnsi="Arial"/>
          <w:sz w:val="17"/>
          <w:szCs w:val="17"/>
          <w:color w:val="auto"/>
        </w:rPr>
      </w:pPr>
    </w:p>
    <w:p>
      <w:pPr>
        <w:ind w:left="1020" w:hanging="504"/>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39" w:lineRule="exact"/>
        <w:rPr>
          <w:rFonts w:ascii="Arial" w:cs="Arial" w:eastAsia="Arial" w:hAnsi="Arial"/>
          <w:sz w:val="16"/>
          <w:szCs w:val="16"/>
          <w:color w:val="auto"/>
        </w:rPr>
      </w:pPr>
    </w:p>
    <w:p>
      <w:pPr>
        <w:jc w:val="both"/>
        <w:ind w:left="1020" w:right="200" w:hanging="504"/>
        <w:spacing w:after="0" w:line="341"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1020" w:right="260" w:hanging="504"/>
        <w:spacing w:after="0" w:line="307"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9" w:lineRule="exact"/>
        <w:rPr>
          <w:rFonts w:ascii="Arial" w:cs="Arial" w:eastAsia="Arial" w:hAnsi="Arial"/>
          <w:sz w:val="17"/>
          <w:szCs w:val="17"/>
          <w:color w:val="auto"/>
        </w:rPr>
      </w:pPr>
    </w:p>
    <w:p>
      <w:pPr>
        <w:ind w:left="1020" w:right="20" w:hanging="504"/>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bylaws to reduce our indemnification obligations to directors, officers, employees, and agents.</w:t>
      </w:r>
    </w:p>
    <w:p>
      <w:pPr>
        <w:spacing w:after="0" w:line="169" w:lineRule="exact"/>
        <w:rPr>
          <w:sz w:val="20"/>
          <w:szCs w:val="20"/>
          <w:color w:val="auto"/>
        </w:rPr>
      </w:pPr>
    </w:p>
    <w:p>
      <w:pPr>
        <w:jc w:val="both"/>
        <w:ind w:right="400" w:firstLine="509"/>
        <w:spacing w:after="0" w:line="341"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180"/>
        <w:spacing w:after="0" w:line="286" w:lineRule="auto"/>
        <w:rPr>
          <w:sz w:val="20"/>
          <w:szCs w:val="20"/>
          <w:color w:val="auto"/>
        </w:rPr>
      </w:pPr>
      <w:r>
        <w:rPr>
          <w:rFonts w:ascii="Arial" w:cs="Arial" w:eastAsia="Arial" w:hAnsi="Arial"/>
          <w:sz w:val="17"/>
          <w:szCs w:val="17"/>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5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69"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attract and retain highly skilled employees could materially adversely affect our business.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For example, in April 2023, we approved a restructuring plan to reduce our global workforce.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p>
    <w:p>
      <w:pPr>
        <w:spacing w:after="0" w:line="29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62"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4" w:name="page65"/>
    <w:bookmarkEnd w:id="64"/>
    <w:p>
      <w:pPr>
        <w:ind w:right="20"/>
        <w:spacing w:after="0" w:line="271" w:lineRule="auto"/>
        <w:rPr>
          <w:sz w:val="20"/>
          <w:szCs w:val="20"/>
          <w:color w:val="auto"/>
        </w:rPr>
      </w:pPr>
      <w:r>
        <w:rPr>
          <w:rFonts w:ascii="Arial" w:cs="Arial" w:eastAsia="Arial" w:hAnsi="Arial"/>
          <w:sz w:val="17"/>
          <w:szCs w:val="17"/>
          <w:color w:val="auto"/>
        </w:rPr>
        <w:t>our executive management team resulting from the hiring or departure of executives. For example, in February 2023, we announced that Hoang Vuong, our Chief Financial Officer, would no longer serve as Chief Financial Officer, effective February 22, 2023. Our board of directors appointed Christopher Harms as our Chief Financial Officer, effective February 22, 2023. Our inability to successfully manage this transition, or future executive transitions,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business, regulatory, or political climate in the San Francisco Bay Area could adversely affect our operations.</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84"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ind w:firstLine="509"/>
        <w:spacing w:after="0" w:line="269" w:lineRule="auto"/>
        <w:rPr>
          <w:sz w:val="20"/>
          <w:szCs w:val="20"/>
          <w:color w:val="auto"/>
        </w:rPr>
      </w:pPr>
      <w:r>
        <w:rPr>
          <w:rFonts w:ascii="Arial" w:cs="Arial" w:eastAsia="Arial" w:hAnsi="Arial"/>
          <w:sz w:val="17"/>
          <w:szCs w:val="17"/>
          <w:color w:val="auto"/>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occurrences and similar events.</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(including the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7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83" w:lineRule="exact"/>
        <w:rPr>
          <w:sz w:val="20"/>
          <w:szCs w:val="20"/>
          <w:color w:val="auto"/>
        </w:rPr>
      </w:pPr>
    </w:p>
    <w:p>
      <w:pPr>
        <w:jc w:val="both"/>
        <w:ind w:right="780" w:firstLine="509"/>
        <w:spacing w:after="0" w:line="311" w:lineRule="auto"/>
        <w:rPr>
          <w:sz w:val="20"/>
          <w:szCs w:val="20"/>
          <w:color w:val="auto"/>
        </w:rPr>
      </w:pPr>
      <w:r>
        <w:rPr>
          <w:rFonts w:ascii="Arial" w:cs="Arial" w:eastAsia="Arial" w:hAnsi="Arial"/>
          <w:sz w:val="16"/>
          <w:szCs w:val="16"/>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6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6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7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81"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66" w:name="page67"/>
    <w:bookmarkEnd w:id="66"/>
    <w:p>
      <w:pPr>
        <w:spacing w:after="0" w:line="256" w:lineRule="auto"/>
        <w:rPr>
          <w:sz w:val="20"/>
          <w:szCs w:val="20"/>
          <w:color w:val="auto"/>
        </w:rPr>
      </w:pPr>
      <w:r>
        <w:rPr>
          <w:rFonts w:ascii="Arial" w:cs="Arial" w:eastAsia="Arial" w:hAnsi="Arial"/>
          <w:sz w:val="18"/>
          <w:szCs w:val="18"/>
          <w:color w:val="auto"/>
        </w:rPr>
        <w:t>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4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020" w:type="dxa"/>
            <w:vAlign w:val="bottom"/>
          </w:tcPr>
          <w:p>
            <w:pPr>
              <w:ind w:left="220"/>
              <w:spacing w:after="0"/>
              <w:rPr>
                <w:sz w:val="20"/>
                <w:szCs w:val="20"/>
                <w:color w:val="auto"/>
              </w:rPr>
            </w:pPr>
            <w:r>
              <w:rPr>
                <w:rFonts w:ascii="Arial" w:cs="Arial" w:eastAsia="Arial" w:hAnsi="Arial"/>
                <w:sz w:val="14"/>
                <w:szCs w:val="14"/>
                <w:b w:val="1"/>
                <w:bCs w:val="1"/>
                <w:color w:val="auto"/>
                <w:w w:val="99"/>
              </w:rPr>
              <w:t>Filing Date   Filed Herewith</w:t>
            </w: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5240" w:type="dxa"/>
            <w:vAlign w:val="bottom"/>
            <w:gridSpan w:val="11"/>
          </w:tcPr>
          <w:p>
            <w:pPr>
              <w:spacing w:after="0"/>
              <w:rPr>
                <w:rFonts w:ascii="Arial" w:cs="Arial" w:eastAsia="Arial" w:hAnsi="Arial"/>
                <w:sz w:val="18"/>
                <w:szCs w:val="18"/>
                <w:color w:val="0000FF"/>
              </w:rPr>
            </w:pPr>
            <w:hyperlink r:id="rId291">
              <w:r>
                <w:rPr>
                  <w:rFonts w:ascii="Arial" w:cs="Arial" w:eastAsia="Arial" w:hAnsi="Arial"/>
                  <w:sz w:val="18"/>
                  <w:szCs w:val="18"/>
                  <w:color w:val="0000FF"/>
                </w:rPr>
                <w:t>Restated Certificate of Incorporation of the Registrant.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20" w:type="dxa"/>
            <w:vAlign w:val="bottom"/>
          </w:tcPr>
          <w:p>
            <w:pPr>
              <w:jc w:val="center"/>
              <w:ind w:right="811"/>
              <w:spacing w:after="0"/>
              <w:rPr>
                <w:sz w:val="20"/>
                <w:szCs w:val="20"/>
                <w:color w:val="auto"/>
              </w:rPr>
            </w:pPr>
            <w:r>
              <w:rPr>
                <w:rFonts w:ascii="Arial" w:cs="Arial" w:eastAsia="Arial" w:hAnsi="Arial"/>
                <w:sz w:val="18"/>
                <w:szCs w:val="18"/>
                <w:color w:val="auto"/>
                <w:w w:val="89"/>
              </w:rPr>
              <w:t>9/21/2021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5240" w:type="dxa"/>
            <w:vAlign w:val="bottom"/>
            <w:gridSpan w:val="11"/>
          </w:tcPr>
          <w:p>
            <w:pPr>
              <w:spacing w:after="0"/>
              <w:rPr>
                <w:rFonts w:ascii="Arial" w:cs="Arial" w:eastAsia="Arial" w:hAnsi="Arial"/>
                <w:sz w:val="18"/>
                <w:szCs w:val="18"/>
                <w:color w:val="0000FF"/>
              </w:rPr>
            </w:pPr>
            <w:hyperlink r:id="rId292">
              <w:r>
                <w:rPr>
                  <w:rFonts w:ascii="Arial" w:cs="Arial" w:eastAsia="Arial" w:hAnsi="Arial"/>
                  <w:sz w:val="18"/>
                  <w:szCs w:val="18"/>
                  <w:color w:val="0000FF"/>
                </w:rPr>
                <w:t>Amended and Restated Bylaws of the Registrant.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20" w:type="dxa"/>
            <w:vAlign w:val="bottom"/>
          </w:tcPr>
          <w:p>
            <w:pPr>
              <w:jc w:val="center"/>
              <w:ind w:right="811"/>
              <w:spacing w:after="0"/>
              <w:rPr>
                <w:sz w:val="20"/>
                <w:szCs w:val="20"/>
                <w:color w:val="auto"/>
              </w:rPr>
            </w:pPr>
            <w:r>
              <w:rPr>
                <w:rFonts w:ascii="Arial" w:cs="Arial" w:eastAsia="Arial" w:hAnsi="Arial"/>
                <w:sz w:val="18"/>
                <w:szCs w:val="18"/>
                <w:color w:val="auto"/>
                <w:w w:val="89"/>
              </w:rPr>
              <w:t>9/21/2021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5240" w:type="dxa"/>
            <w:vAlign w:val="bottom"/>
            <w:gridSpan w:val="11"/>
          </w:tcPr>
          <w:p>
            <w:pPr>
              <w:spacing w:after="0"/>
              <w:rPr>
                <w:rFonts w:ascii="Arial" w:cs="Arial" w:eastAsia="Arial" w:hAnsi="Arial"/>
                <w:sz w:val="18"/>
                <w:szCs w:val="18"/>
                <w:color w:val="0000FF"/>
                <w:w w:val="93"/>
              </w:rPr>
            </w:pPr>
            <w:hyperlink r:id="rId293">
              <w:r>
                <w:rPr>
                  <w:rFonts w:ascii="Arial" w:cs="Arial" w:eastAsia="Arial" w:hAnsi="Arial"/>
                  <w:sz w:val="18"/>
                  <w:szCs w:val="18"/>
                  <w:color w:val="0000FF"/>
                  <w:w w:val="93"/>
                </w:rPr>
                <w:t>Specimen Stock Certificate evidencing the shares of Class A Common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333-259168</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020" w:type="dxa"/>
            <w:vAlign w:val="bottom"/>
          </w:tcPr>
          <w:p>
            <w:pPr>
              <w:jc w:val="center"/>
              <w:ind w:right="811"/>
              <w:spacing w:after="0"/>
              <w:rPr>
                <w:sz w:val="20"/>
                <w:szCs w:val="20"/>
                <w:color w:val="auto"/>
              </w:rPr>
            </w:pPr>
            <w:r>
              <w:rPr>
                <w:rFonts w:ascii="Arial" w:cs="Arial" w:eastAsia="Arial" w:hAnsi="Arial"/>
                <w:sz w:val="18"/>
                <w:szCs w:val="18"/>
                <w:color w:val="auto"/>
                <w:w w:val="89"/>
              </w:rPr>
              <w:t>8/30/2021</w:t>
            </w:r>
          </w:p>
        </w:tc>
      </w:tr>
      <w:tr>
        <w:trPr>
          <w:trHeight w:val="20"/>
        </w:trPr>
        <w:tc>
          <w:tcPr>
            <w:tcW w:w="10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rFonts w:ascii="Arial" w:cs="Arial" w:eastAsia="Arial" w:hAnsi="Arial"/>
                <w:sz w:val="18"/>
                <w:szCs w:val="18"/>
                <w:color w:val="0000FF"/>
              </w:rPr>
            </w:pPr>
            <w:hyperlink r:id="rId293">
              <w:r>
                <w:rPr>
                  <w:rFonts w:ascii="Arial" w:cs="Arial" w:eastAsia="Arial" w:hAnsi="Arial"/>
                  <w:sz w:val="18"/>
                  <w:szCs w:val="18"/>
                  <w:color w:val="0000FF"/>
                </w:rPr>
                <w:t>Stock.</w:t>
              </w:r>
            </w:hyperlink>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5240" w:type="dxa"/>
            <w:vAlign w:val="bottom"/>
            <w:gridSpan w:val="11"/>
          </w:tcPr>
          <w:p>
            <w:pPr>
              <w:spacing w:after="0"/>
              <w:rPr>
                <w:rFonts w:ascii="Arial" w:cs="Arial" w:eastAsia="Arial" w:hAnsi="Arial"/>
                <w:sz w:val="18"/>
                <w:szCs w:val="18"/>
                <w:color w:val="0000FF"/>
                <w:w w:val="93"/>
              </w:rPr>
            </w:pPr>
            <w:hyperlink r:id="rId294">
              <w:r>
                <w:rPr>
                  <w:rFonts w:ascii="Arial" w:cs="Arial" w:eastAsia="Arial" w:hAnsi="Arial"/>
                  <w:sz w:val="18"/>
                  <w:szCs w:val="18"/>
                  <w:color w:val="0000FF"/>
                  <w:w w:val="93"/>
                </w:rPr>
                <w:t>Specimen Stock Certificate evidencing the shares of Class B Common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333-259698</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020" w:type="dxa"/>
            <w:vAlign w:val="bottom"/>
          </w:tcPr>
          <w:p>
            <w:pPr>
              <w:jc w:val="center"/>
              <w:ind w:right="811"/>
              <w:spacing w:after="0"/>
              <w:rPr>
                <w:sz w:val="20"/>
                <w:szCs w:val="20"/>
                <w:color w:val="auto"/>
              </w:rPr>
            </w:pPr>
            <w:r>
              <w:rPr>
                <w:rFonts w:ascii="Arial" w:cs="Arial" w:eastAsia="Arial" w:hAnsi="Arial"/>
                <w:sz w:val="18"/>
                <w:szCs w:val="18"/>
                <w:color w:val="auto"/>
                <w:w w:val="89"/>
              </w:rPr>
              <w:t>9/21/2021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rFonts w:ascii="Arial" w:cs="Arial" w:eastAsia="Arial" w:hAnsi="Arial"/>
                <w:sz w:val="18"/>
                <w:szCs w:val="18"/>
                <w:color w:val="0000FF"/>
              </w:rPr>
            </w:pPr>
            <w:hyperlink r:id="rId294">
              <w:r>
                <w:rPr>
                  <w:rFonts w:ascii="Arial" w:cs="Arial" w:eastAsia="Arial" w:hAnsi="Arial"/>
                  <w:sz w:val="18"/>
                  <w:szCs w:val="18"/>
                  <w:color w:val="0000FF"/>
                </w:rPr>
                <w:t>Stock.</w:t>
              </w:r>
            </w:hyperlink>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5240" w:type="dxa"/>
            <w:vAlign w:val="bottom"/>
            <w:gridSpan w:val="11"/>
          </w:tcPr>
          <w:p>
            <w:pPr>
              <w:spacing w:after="0"/>
              <w:rPr>
                <w:rFonts w:ascii="Arial" w:cs="Arial" w:eastAsia="Arial" w:hAnsi="Arial"/>
                <w:sz w:val="18"/>
                <w:szCs w:val="18"/>
                <w:color w:val="0000FF"/>
                <w:w w:val="93"/>
              </w:rPr>
            </w:pPr>
            <w:hyperlink r:id="rId295">
              <w:r>
                <w:rPr>
                  <w:rFonts w:ascii="Arial" w:cs="Arial" w:eastAsia="Arial" w:hAnsi="Arial"/>
                  <w:sz w:val="18"/>
                  <w:szCs w:val="18"/>
                  <w:color w:val="0000FF"/>
                  <w:w w:val="93"/>
                </w:rPr>
                <w:t>Amended and Restated Investors’ Rights Agreement, dated as of May</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333-259168</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020" w:type="dxa"/>
            <w:vAlign w:val="bottom"/>
          </w:tcPr>
          <w:p>
            <w:pPr>
              <w:jc w:val="center"/>
              <w:ind w:right="811"/>
              <w:spacing w:after="0"/>
              <w:rPr>
                <w:sz w:val="20"/>
                <w:szCs w:val="20"/>
                <w:color w:val="auto"/>
              </w:rPr>
            </w:pPr>
            <w:r>
              <w:rPr>
                <w:rFonts w:ascii="Arial" w:cs="Arial" w:eastAsia="Arial" w:hAnsi="Arial"/>
                <w:sz w:val="18"/>
                <w:szCs w:val="18"/>
                <w:color w:val="auto"/>
                <w:w w:val="89"/>
              </w:rPr>
              <w:t>8/30/2021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rFonts w:ascii="Arial" w:cs="Arial" w:eastAsia="Arial" w:hAnsi="Arial"/>
                <w:sz w:val="18"/>
                <w:szCs w:val="18"/>
                <w:color w:val="0000FF"/>
                <w:w w:val="93"/>
              </w:rPr>
            </w:pPr>
            <w:hyperlink r:id="rId295">
              <w:r>
                <w:rPr>
                  <w:rFonts w:ascii="Arial" w:cs="Arial" w:eastAsia="Arial" w:hAnsi="Arial"/>
                  <w:sz w:val="18"/>
                  <w:szCs w:val="18"/>
                  <w:color w:val="0000FF"/>
                  <w:w w:val="93"/>
                </w:rPr>
                <w:t>28, 2021, as amended, by and among the Registrant and certain of its</w:t>
              </w:r>
            </w:hyperlink>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rFonts w:ascii="Arial" w:cs="Arial" w:eastAsia="Arial" w:hAnsi="Arial"/>
                <w:sz w:val="18"/>
                <w:szCs w:val="18"/>
                <w:color w:val="0000FF"/>
              </w:rPr>
            </w:pPr>
            <w:hyperlink r:id="rId295">
              <w:r>
                <w:rPr>
                  <w:rFonts w:ascii="Arial" w:cs="Arial" w:eastAsia="Arial" w:hAnsi="Arial"/>
                  <w:sz w:val="18"/>
                  <w:szCs w:val="18"/>
                  <w:color w:val="0000FF"/>
                </w:rPr>
                <w:t>stockholders.</w:t>
              </w:r>
            </w:hyperlink>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5240" w:type="dxa"/>
            <w:vAlign w:val="bottom"/>
            <w:gridSpan w:val="11"/>
          </w:tcPr>
          <w:p>
            <w:pPr>
              <w:spacing w:after="0"/>
              <w:rPr>
                <w:rFonts w:ascii="Arial" w:cs="Arial" w:eastAsia="Arial" w:hAnsi="Arial"/>
                <w:sz w:val="18"/>
                <w:szCs w:val="18"/>
                <w:color w:val="0000FF"/>
              </w:rPr>
            </w:pPr>
            <w:hyperlink r:id="rId296">
              <w:r>
                <w:rPr>
                  <w:rFonts w:ascii="Arial" w:cs="Arial" w:eastAsia="Arial" w:hAnsi="Arial"/>
                  <w:sz w:val="18"/>
                  <w:szCs w:val="18"/>
                  <w:color w:val="0000FF"/>
                </w:rPr>
                <w:t>Section 16 Bonus Plan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2020" w:type="dxa"/>
            <w:vAlign w:val="bottom"/>
          </w:tcPr>
          <w:p>
            <w:pPr>
              <w:jc w:val="center"/>
              <w:ind w:right="811"/>
              <w:spacing w:after="0"/>
              <w:rPr>
                <w:sz w:val="20"/>
                <w:szCs w:val="20"/>
                <w:color w:val="auto"/>
              </w:rPr>
            </w:pPr>
            <w:r>
              <w:rPr>
                <w:rFonts w:ascii="Arial" w:cs="Arial" w:eastAsia="Arial" w:hAnsi="Arial"/>
                <w:sz w:val="18"/>
                <w:szCs w:val="18"/>
                <w:color w:val="auto"/>
                <w:w w:val="91"/>
              </w:rPr>
              <w:t>8/8/2023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gridSpan w:val="11"/>
          </w:tcPr>
          <w:p>
            <w:pPr>
              <w:spacing w:after="0"/>
              <w:rPr>
                <w:sz w:val="20"/>
                <w:szCs w:val="20"/>
                <w:color w:val="auto"/>
              </w:rPr>
            </w:pPr>
            <w:r>
              <w:rPr>
                <w:rFonts w:ascii="Arial" w:cs="Arial" w:eastAsia="Arial" w:hAnsi="Arial"/>
                <w:sz w:val="18"/>
                <w:szCs w:val="18"/>
                <w:color w:val="0000FF"/>
                <w:w w:val="93"/>
              </w:rPr>
              <w:t>Certification of Principal Executive Officer Pursuant to Rules 13a-14(a)</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w w:val="93"/>
              </w:rPr>
              <w:t>and 15d-14(a) under the Securities Exchange Act of 1934, as Adopted</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rPr>
              <w:t>Pursuant to Section 302 of the Sarbanes-Oxley Act of 2002.</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gridSpan w:val="11"/>
          </w:tcPr>
          <w:p>
            <w:pPr>
              <w:spacing w:after="0"/>
              <w:rPr>
                <w:sz w:val="20"/>
                <w:szCs w:val="20"/>
                <w:color w:val="auto"/>
              </w:rPr>
            </w:pPr>
            <w:r>
              <w:rPr>
                <w:rFonts w:ascii="Arial" w:cs="Arial" w:eastAsia="Arial" w:hAnsi="Arial"/>
                <w:sz w:val="18"/>
                <w:szCs w:val="18"/>
                <w:color w:val="0000FF"/>
                <w:w w:val="94"/>
              </w:rPr>
              <w:t>Certification of Principal Financial Officer Pursuant to Rules 13a-14(a)</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w w:val="93"/>
              </w:rPr>
              <w:t>and 15d-14(a) under the Securities Exchange Act of 1934, as Adopted</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rPr>
              <w:t>Pursuant to Section 302 of the Sarbanes-Oxley Act of 2002.</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18 U.S.C.</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w w:val="88"/>
              </w:rPr>
              <w:t>Section 1350, as Adopted Pursuant to Section 906 of the Sarbanes-Oxley</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rPr>
              <w:t>Act of 2002.</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524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18 U.S.C.</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w w:val="88"/>
              </w:rPr>
              <w:t>Section 1350, as Adopted Pursuant to Section 906 of the Sarbanes-Oxley</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240" w:type="dxa"/>
            <w:vAlign w:val="bottom"/>
            <w:gridSpan w:val="11"/>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1"/>
          </w:tcPr>
          <w:p>
            <w:pPr>
              <w:spacing w:after="0" w:line="195" w:lineRule="exact"/>
              <w:rPr>
                <w:sz w:val="20"/>
                <w:szCs w:val="20"/>
                <w:color w:val="auto"/>
              </w:rPr>
            </w:pPr>
            <w:r>
              <w:rPr>
                <w:rFonts w:ascii="Arial" w:cs="Arial" w:eastAsia="Arial" w:hAnsi="Arial"/>
                <w:sz w:val="18"/>
                <w:szCs w:val="18"/>
                <w:color w:val="0000FF"/>
              </w:rPr>
              <w:t>Act of 2002.</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5"/>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gridSpan w:val="11"/>
          </w:tcPr>
          <w:p>
            <w:pPr>
              <w:spacing w:after="0"/>
              <w:rPr>
                <w:sz w:val="20"/>
                <w:szCs w:val="20"/>
                <w:color w:val="auto"/>
              </w:rPr>
            </w:pPr>
            <w:r>
              <w:rPr>
                <w:rFonts w:ascii="Arial" w:cs="Arial" w:eastAsia="Arial" w:hAnsi="Arial"/>
                <w:sz w:val="18"/>
                <w:szCs w:val="18"/>
                <w:color w:val="auto"/>
                <w:w w:val="98"/>
              </w:rPr>
              <w:t>Inline XBRL Instance Document – the instance document does not</w:t>
            </w: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16"/>
        </w:trPr>
        <w:tc>
          <w:tcPr>
            <w:tcW w:w="1040" w:type="dxa"/>
            <w:vAlign w:val="bottom"/>
          </w:tcPr>
          <w:p>
            <w:pPr>
              <w:spacing w:after="0"/>
              <w:rPr>
                <w:sz w:val="18"/>
                <w:szCs w:val="18"/>
                <w:color w:val="auto"/>
              </w:rPr>
            </w:pPr>
          </w:p>
        </w:tc>
        <w:tc>
          <w:tcPr>
            <w:tcW w:w="5240" w:type="dxa"/>
            <w:vAlign w:val="bottom"/>
            <w:gridSpan w:val="11"/>
          </w:tcPr>
          <w:p>
            <w:pPr>
              <w:spacing w:after="0"/>
              <w:rPr>
                <w:sz w:val="20"/>
                <w:szCs w:val="20"/>
                <w:color w:val="auto"/>
              </w:rPr>
            </w:pPr>
            <w:r>
              <w:rPr>
                <w:rFonts w:ascii="Arial" w:cs="Arial" w:eastAsia="Arial" w:hAnsi="Arial"/>
                <w:sz w:val="18"/>
                <w:szCs w:val="18"/>
                <w:color w:val="auto"/>
                <w:w w:val="93"/>
              </w:rPr>
              <w:t>appear in the Interactive Data File because XBRL tags are embedded</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1040" w:type="dxa"/>
            <w:vAlign w:val="bottom"/>
          </w:tcPr>
          <w:p>
            <w:pPr>
              <w:spacing w:after="0"/>
              <w:rPr>
                <w:sz w:val="19"/>
                <w:szCs w:val="19"/>
                <w:color w:val="auto"/>
              </w:rPr>
            </w:pPr>
          </w:p>
        </w:tc>
        <w:tc>
          <w:tcPr>
            <w:tcW w:w="524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11"/>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gridSpan w:val="11"/>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240" w:type="dxa"/>
            <w:vAlign w:val="bottom"/>
            <w:gridSpan w:val="11"/>
          </w:tcPr>
          <w:p>
            <w:pPr>
              <w:spacing w:after="0"/>
              <w:rPr>
                <w:sz w:val="20"/>
                <w:szCs w:val="20"/>
                <w:color w:val="auto"/>
              </w:rPr>
            </w:pPr>
            <w:r>
              <w:rPr>
                <w:rFonts w:ascii="Arial" w:cs="Arial" w:eastAsia="Arial" w:hAnsi="Arial"/>
                <w:sz w:val="18"/>
                <w:szCs w:val="18"/>
                <w:color w:val="auto"/>
                <w:w w:val="97"/>
              </w:rPr>
              <w:t>Cover Page Interactive Data File (embedded within the Inline XBRL</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X</w:t>
            </w:r>
          </w:p>
        </w:tc>
      </w:tr>
      <w:tr>
        <w:trPr>
          <w:trHeight w:val="230"/>
        </w:trPr>
        <w:tc>
          <w:tcPr>
            <w:tcW w:w="1040" w:type="dxa"/>
            <w:vAlign w:val="bottom"/>
          </w:tcPr>
          <w:p>
            <w:pPr>
              <w:spacing w:after="0"/>
              <w:rPr>
                <w:sz w:val="20"/>
                <w:szCs w:val="20"/>
                <w:color w:val="auto"/>
              </w:rPr>
            </w:pPr>
          </w:p>
        </w:tc>
        <w:tc>
          <w:tcPr>
            <w:tcW w:w="524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3" w:lineRule="exact"/>
        <w:rPr>
          <w:sz w:val="20"/>
          <w:szCs w:val="20"/>
          <w:color w:val="auto"/>
        </w:rPr>
      </w:pPr>
    </w:p>
    <w:p>
      <w:pPr>
        <w:jc w:val="both"/>
        <w:ind w:right="20" w:firstLine="8"/>
        <w:spacing w:after="0" w:line="253" w:lineRule="auto"/>
        <w:tabs>
          <w:tab w:leader="none" w:pos="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8" w:name="page69"/>
    <w:bookmarkEnd w:id="68"/>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320" w:top="33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Amplitude, Inc.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 /s/ Spenser Skates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-130175</wp:posOffset>
            </wp:positionV>
            <wp:extent cx="33134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Harms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Christopher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-130175</wp:posOffset>
            </wp:positionV>
            <wp:extent cx="33134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ectPr>
          <w:pgSz w:w="11900" w:h="16838" w:orient="portrait"/>
          <w:cols w:equalWidth="0" w:num="2">
            <w:col w:w="4980" w:space="720"/>
            <w:col w:w="5080"/>
          </w:cols>
          <w:pgMar w:left="320" w:top="337" w:right="799" w:bottom="1440" w:gutter="0" w:footer="0" w:header="0"/>
          <w:type w:val="continuous"/>
        </w:sectPr>
      </w:pP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4"/>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80" w:hanging="512"/>
        <w:spacing w:after="0" w:line="307"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60" w:hanging="504"/>
        <w:spacing w:after="0" w:line="277"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Harms,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4"/>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80" w:hanging="512"/>
        <w:spacing w:after="0" w:line="307"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60" w:hanging="504"/>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Christopher Harms</w:t>
      </w:r>
    </w:p>
    <w:p>
      <w:pPr>
        <w:spacing w:after="0" w:line="2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ind w:left="340" w:right="2580"/>
        <w:spacing w:after="0" w:line="265"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September 30, 2023 as filed with the Securities and Exchange Commission on the date hereof (the “Report”), I certify, pursuant to 18 U.S.C. § 1350, as adopted pursuant to § 906 of the Sarbanes-Oxley Act of 2002, as amended, that:</w:t>
      </w:r>
    </w:p>
    <w:p>
      <w:pPr>
        <w:spacing w:after="0" w:line="183" w:lineRule="exact"/>
        <w:rPr>
          <w:sz w:val="20"/>
          <w:szCs w:val="20"/>
          <w:color w:val="auto"/>
        </w:rPr>
      </w:pPr>
    </w:p>
    <w:p>
      <w:pPr>
        <w:ind w:left="1020" w:hanging="504"/>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4"/>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September 30, 2023 as filed with the Securities and Exchange Commission on the date hereof (the “Report”), I certify, pursuant to 18 U.S.C. § 1350, as adopted pursuant to § 906 of the Sarbanes-Oxley Act of 2002, as amended, that:</w:t>
      </w:r>
    </w:p>
    <w:p>
      <w:pPr>
        <w:spacing w:after="0" w:line="183" w:lineRule="exact"/>
        <w:rPr>
          <w:sz w:val="20"/>
          <w:szCs w:val="20"/>
          <w:color w:val="auto"/>
        </w:rPr>
      </w:pPr>
    </w:p>
    <w:p>
      <w:pPr>
        <w:ind w:left="1020" w:hanging="504"/>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4"/>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Christopher Harms</w:t>
      </w:r>
    </w:p>
    <w:p>
      <w:pPr>
        <w:spacing w:after="0" w:line="2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4"/>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7"/>
    </w:lvl>
  </w:abstractNum>
  <w:abstractNum w:abstractNumId="18">
    <w:nsid w:val="5577F8E1"/>
    <w:multiLevelType w:val="hybridMultilevel"/>
    <w:lvl w:ilvl="0">
      <w:lvlJc w:val="left"/>
      <w:lvlText w:val="(%1)"/>
      <w:numFmt w:val="decimal"/>
      <w:start w:val="8"/>
    </w:lvl>
  </w:abstractNum>
  <w:abstractNum w:abstractNumId="19">
    <w:nsid w:val="440BADFC"/>
    <w:multiLevelType w:val="hybridMultilevel"/>
    <w:lvl w:ilvl="0">
      <w:lvlJc w:val="left"/>
      <w:lvlText w:val="(%1)"/>
      <w:numFmt w:val="decimal"/>
      <w:start w:val="9"/>
    </w:lvl>
  </w:abstractNum>
  <w:abstractNum w:abstractNumId="20">
    <w:nsid w:val="5072367"/>
    <w:multiLevelType w:val="hybridMultilevel"/>
    <w:lvl w:ilvl="0">
      <w:lvlJc w:val="left"/>
      <w:lvlText w:val="(%1)"/>
      <w:numFmt w:val="decimal"/>
      <w:start w:val="10"/>
    </w:lvl>
  </w:abstractNum>
  <w:abstractNum w:abstractNumId="21">
    <w:nsid w:val="3804823E"/>
    <w:multiLevelType w:val="hybridMultilevel"/>
    <w:lvl w:ilvl="0">
      <w:lvlJc w:val="left"/>
      <w:lvlText w:val="(%1)"/>
      <w:numFmt w:val="decimal"/>
      <w:start w:val="12"/>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291" Type="http://schemas.openxmlformats.org/officeDocument/2006/relationships/hyperlink" Target="https://www.sec.gov/Archives/edgar/data/1866692/000119312521278308/d93786dex31.htm" TargetMode="External"/><Relationship Id="rId292" Type="http://schemas.openxmlformats.org/officeDocument/2006/relationships/hyperlink" Target="https://www.sec.gov/Archives/edgar/data/1866692/000119312521278308/d93786dex32.htm" TargetMode="External"/><Relationship Id="rId293" Type="http://schemas.openxmlformats.org/officeDocument/2006/relationships/hyperlink" Target="https://www.sec.gov/Archives/edgar/data/1866692/000119312521260696/d143868dex42.htm" TargetMode="External"/><Relationship Id="rId294" Type="http://schemas.openxmlformats.org/officeDocument/2006/relationships/hyperlink" Target="https://www.sec.gov/Archives/edgar/data/1866692/000119312521278407/d114916dex44.htm" TargetMode="External"/><Relationship Id="rId295" Type="http://schemas.openxmlformats.org/officeDocument/2006/relationships/hyperlink" Target="https://www.sec.gov/Archives/edgar/data/1866692/000119312521260696/d143868dex43.htm" TargetMode="External"/><Relationship Id="rId296" Type="http://schemas.openxmlformats.org/officeDocument/2006/relationships/hyperlink" Target="https://www.sec.gov/Archives/edgar/data/1866692/000095017023039800/ampl-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2023-11-07T15:45:04Z</dcterms:created>
  <dcterms:modified xsi:type="dcterms:W3CDTF">2023-11-07T15:45:04Z</dcterms:modified>
</cp:coreProperties>
</file>