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920" w:right="1980" w:hanging="3899"/>
        <w:spacing w:after="0" w:line="310"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highlight w:val="black"/>
        </w:rPr>
      </w:pPr>
    </w:p>
    <w:p>
      <w:pPr>
        <w:ind w:left="54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48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ectPr>
          <w:pgSz w:w="11900" w:h="16838" w:orient="portrait"/>
          <w:cols w:equalWidth="0" w:num="1">
            <w:col w:w="11240"/>
          </w:cols>
          <w:pgMar w:left="320" w:top="533" w:right="339" w:bottom="1440" w:gutter="0" w:footer="0" w:header="0"/>
        </w:sectPr>
      </w:pPr>
    </w:p>
    <w:p>
      <w:pPr>
        <w:spacing w:after="0" w:line="5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40"/>
          <w:szCs w:val="40"/>
          <w:b w:val="1"/>
          <w:bCs w:val="1"/>
          <w:color w:val="auto"/>
        </w:rPr>
        <w:t>AMPLITUDE, INC.</w:t>
      </w: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45-3937349</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640" w:space="300"/>
            <w:col w:w="3300"/>
          </w:cols>
          <w:pgMar w:left="320" w:top="533"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8"/>
          <w:szCs w:val="18"/>
          <w:b w:val="1"/>
          <w:bCs w:val="1"/>
          <w:color w:val="auto"/>
        </w:rPr>
        <w:t>201 Third Street, Suite 200</w:t>
      </w:r>
    </w:p>
    <w:p>
      <w:pPr>
        <w:spacing w:after="0" w:line="25" w:lineRule="exact"/>
        <w:rPr>
          <w:sz w:val="24"/>
          <w:szCs w:val="24"/>
          <w:color w:val="auto"/>
        </w:rPr>
      </w:pPr>
    </w:p>
    <w:p>
      <w:pPr>
        <w:ind w:left="184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San Francisco, California</w:t>
      </w:r>
      <w:r>
        <w:rPr>
          <w:sz w:val="20"/>
          <w:szCs w:val="20"/>
          <w:color w:val="auto"/>
        </w:rPr>
        <w:tab/>
      </w:r>
      <w:r>
        <w:rPr>
          <w:rFonts w:ascii="Times New Roman" w:cs="Times New Roman" w:eastAsia="Times New Roman" w:hAnsi="Times New Roman"/>
          <w:sz w:val="18"/>
          <w:szCs w:val="18"/>
          <w:b w:val="1"/>
          <w:bCs w:val="1"/>
          <w:color w:val="auto"/>
        </w:rPr>
        <w:t>94103</w:t>
      </w:r>
    </w:p>
    <w:p>
      <w:pPr>
        <w:spacing w:after="0" w:line="43"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5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231-2353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20" w:type="dxa"/>
            <w:vAlign w:val="bottom"/>
          </w:tcPr>
          <w:p>
            <w:pPr>
              <w:spacing w:after="0"/>
              <w:rPr>
                <w:sz w:val="12"/>
                <w:szCs w:val="12"/>
                <w:color w:val="auto"/>
              </w:rPr>
            </w:pPr>
          </w:p>
        </w:tc>
        <w:tc>
          <w:tcPr>
            <w:tcW w:w="5040" w:type="dxa"/>
            <w:vAlign w:val="bottom"/>
          </w:tcPr>
          <w:p>
            <w:pPr>
              <w:spacing w:after="0"/>
              <w:rPr>
                <w:sz w:val="12"/>
                <w:szCs w:val="12"/>
                <w:color w:val="auto"/>
              </w:rPr>
            </w:pPr>
          </w:p>
        </w:tc>
      </w:tr>
      <w:tr>
        <w:trPr>
          <w:trHeight w:val="179"/>
        </w:trPr>
        <w:tc>
          <w:tcPr>
            <w:tcW w:w="42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2"/>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per share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AMPL</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34" w:lineRule="exact"/>
        <w:rPr>
          <w:sz w:val="24"/>
          <w:szCs w:val="24"/>
          <w:color w:val="auto"/>
        </w:rPr>
      </w:pPr>
    </w:p>
    <w:p>
      <w:pPr>
        <w:ind w:right="4560"/>
        <w:spacing w:after="0" w:line="201"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12" w:lineRule="exact"/>
        <w:rPr>
          <w:sz w:val="24"/>
          <w:szCs w:val="24"/>
          <w:color w:val="auto"/>
        </w:rPr>
      </w:pPr>
    </w:p>
    <w:p>
      <w:pPr>
        <w:ind w:right="16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1" w:lineRule="exact"/>
        <w:rPr>
          <w:sz w:val="24"/>
          <w:szCs w:val="24"/>
          <w:color w:val="auto"/>
        </w:rPr>
      </w:pPr>
    </w:p>
    <w:p>
      <w:pPr>
        <w:ind w:right="24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1" w:lineRule="exact"/>
        <w:rPr>
          <w:sz w:val="24"/>
          <w:szCs w:val="24"/>
          <w:color w:val="auto"/>
        </w:rPr>
      </w:pPr>
    </w:p>
    <w:p>
      <w:pPr>
        <w:ind w:right="2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80" w:type="dxa"/>
            <w:vAlign w:val="bottom"/>
            <w:vMerge w:val="restart"/>
          </w:tcPr>
          <w:p>
            <w:pPr>
              <w:ind w:left="4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2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60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3680" w:type="dxa"/>
            <w:vAlign w:val="bottom"/>
            <w:vMerge w:val="continue"/>
          </w:tcPr>
          <w:p>
            <w:pPr>
              <w:spacing w:after="0"/>
              <w:rPr>
                <w:sz w:val="4"/>
                <w:szCs w:val="4"/>
                <w:color w:val="auto"/>
              </w:rPr>
            </w:pPr>
          </w:p>
        </w:tc>
        <w:tc>
          <w:tcPr>
            <w:tcW w:w="5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80" w:type="dxa"/>
            <w:vAlign w:val="bottom"/>
          </w:tcPr>
          <w:p>
            <w:pPr>
              <w:ind w:left="4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2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0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0" w:type="dxa"/>
            <w:vAlign w:val="bottom"/>
          </w:tcPr>
          <w:p>
            <w:pPr>
              <w:spacing w:after="0"/>
              <w:rPr>
                <w:sz w:val="1"/>
                <w:szCs w:val="1"/>
                <w:color w:val="auto"/>
              </w:rPr>
            </w:pPr>
          </w:p>
        </w:tc>
      </w:tr>
      <w:tr>
        <w:trPr>
          <w:trHeight w:val="432"/>
        </w:trPr>
        <w:tc>
          <w:tcPr>
            <w:tcW w:w="18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80" w:type="dxa"/>
            <w:vAlign w:val="bottom"/>
          </w:tcPr>
          <w:p>
            <w:pPr>
              <w:ind w:left="4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ind w:right="32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1" w:lineRule="exact"/>
        <w:rPr>
          <w:sz w:val="24"/>
          <w:szCs w:val="24"/>
          <w:color w:val="auto"/>
        </w:rPr>
      </w:pPr>
    </w:p>
    <w:p>
      <w:pPr>
        <w:ind w:right="22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1" w:lineRule="exact"/>
        <w:rPr>
          <w:sz w:val="24"/>
          <w:szCs w:val="24"/>
          <w:color w:val="auto"/>
        </w:rPr>
      </w:pPr>
    </w:p>
    <w:p>
      <w:pPr>
        <w:ind w:right="120"/>
        <w:spacing w:after="0" w:line="16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220" w:lineRule="exact"/>
        <w:rPr>
          <w:sz w:val="24"/>
          <w:szCs w:val="24"/>
          <w:color w:val="auto"/>
        </w:rPr>
      </w:pPr>
    </w:p>
    <w:p>
      <w:pPr>
        <w:ind w:right="240"/>
        <w:spacing w:after="0" w:line="174" w:lineRule="exact"/>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Times New Roman" w:cs="Times New Roman" w:eastAsia="Times New Roman" w:hAnsi="Times New Roman"/>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85" w:lineRule="exact"/>
        <w:rPr>
          <w:sz w:val="24"/>
          <w:szCs w:val="24"/>
          <w:color w:val="auto"/>
        </w:rPr>
      </w:pPr>
    </w:p>
    <w:p>
      <w:pPr>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5" w:lineRule="exact"/>
        <w:rPr>
          <w:sz w:val="24"/>
          <w:szCs w:val="24"/>
          <w:color w:val="auto"/>
        </w:rPr>
      </w:pPr>
    </w:p>
    <w:p>
      <w:pPr>
        <w:ind w:right="40"/>
        <w:spacing w:after="0"/>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shares of Class A common stock on the Nasdaq Capital Market on June 30, 2022, was approximately $806.2 million.</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8, 2023, there were 76,481,146 shares of the registrant's Class A common stock and 37,848,642 shares of the registrant's Class B common stock, each with a $0.00001 par value per share, outstanding.</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67" w:lineRule="exact"/>
        <w:rPr>
          <w:sz w:val="24"/>
          <w:szCs w:val="24"/>
          <w:color w:val="auto"/>
        </w:rPr>
      </w:pPr>
    </w:p>
    <w:p>
      <w:pPr>
        <w:ind w:right="16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the registrant’s 2023 annual meeting of stockholders, which will be filed with the Securities and Exchange Commission no later than 120 days after December 31, 2022,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60" w:type="dxa"/>
            <w:vAlign w:val="bottom"/>
            <w:gridSpan w:val="9"/>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7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54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76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92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574"/>
        </w:trPr>
        <w:tc>
          <w:tcPr>
            <w:tcW w:w="11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120" w:type="dxa"/>
            <w:vAlign w:val="bottom"/>
            <w:gridSpan w:val="1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about:</w:t>
      </w:r>
    </w:p>
    <w:p>
      <w:pPr>
        <w:spacing w:after="0" w:line="8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Digital Analytics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including our ability to grow and maintain our channel partners, and our ability to promote our brand;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coronavirus (“COVID-19”) pandemic and other global events on our business and the global economy generally, including as a result of any new strains or variants of the virus as well as the ongoing war in Ukraine;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Annual Report on Form 10-K.</w:t>
      </w:r>
    </w:p>
    <w:p>
      <w:pPr>
        <w:spacing w:after="0" w:line="22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discussed in Part I, Item 1A, “Risk Factors”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available.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ind w:right="120"/>
        <w:spacing w:after="0" w:line="282" w:lineRule="auto"/>
        <w:rPr>
          <w:sz w:val="20"/>
          <w:szCs w:val="20"/>
          <w:color w:val="auto"/>
        </w:rPr>
      </w:pPr>
      <w:r>
        <w:rPr>
          <w:rFonts w:ascii="Times New Roman" w:cs="Times New Roman" w:eastAsia="Times New Roman" w:hAnsi="Times New Roman"/>
          <w:sz w:val="18"/>
          <w:szCs w:val="18"/>
          <w:color w:val="auto"/>
        </w:rPr>
        <w:t>not be read to indicate that we have conducted an exhaustive inquiry into, or review of, all potentially available relevant information. These statements are inherently uncertain, and you are cautioned not to unduly rely upon these statements.</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the forward-looking statements in this Annual Report on Form 10-K by these cautionary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as more fully described in Part I, Item 1A, “Risk Factors” in this Annual Report on Form 10-K.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72" w:lineRule="exact"/>
        <w:rPr>
          <w:sz w:val="20"/>
          <w:szCs w:val="20"/>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As our costs increase, we may not be able to generate sufficient revenue to achieve and sustain profitability.</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current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fluctuations in our financial results, making it difficult to project future results. If we fail to meet the expectations of securities analysts or investors with respect to our results of operations, the trading price of our Class A common stock could decline.</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focus on sales to larger organizations and may become more dependent on those relationships, which may increase the variability of our sales cycles and our results of operations.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has been, and in the future, may be, volatile, and could decline significantly and rapidly.</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SaaS applications develops more slowly than we expect or declines, our business would be adversely affected.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regulation, including import, export, economic and trade sanctions, and anti-corruption laws and regulations, that may expose us to liability and increase our costs.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have the ability to influence the outcome of director elections and other matters requiring stockholder approval.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driving the evolution of a new category of software called digital analytics. Our Digital Analytics Platform serves as the command center for businesses to connect digital products to business outcomes, and provides self-service visibility into the entire customer journey. With Amplitude, organizations can build amazing product experiences, drive revenue growth, and win their categories. Digital analytics is emerging as a strategic investment for every company to survive and thrive in the digital-first world.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Digital products are embedded in every part of our daily lives and digital has become the primary way business is done. The ability for companies to offer compelling digital products and services has become a matter of survival.</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way that companies build digital products is going through a fundamental change from being intuition-based to data-driven. Product teams have historically decided what to build based on qualitative gut feel and without a firm understanding of what will drive business results. Today, the best teams are those that build their strategy around product data, which connects the attributes of individual end users with their actual behavior. Product data has become the next untapped growth lever to transform how businesses build products, gain key insights into which features have the greatest business impact, and connect with customers.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amount of time that consumers spend interacting with digital products has led to an explosion of both the quantity and diversity of data. Because products themselves are generators of data, for the first time, in-product behavior can now be analyzed. With product data, teams can gain insight from the specific actions end users take within digital products and answer important questions, such as where in the purchase journey do users experience friction, what are the top user paths between signup and trial conversion, and which features increase new customer retention.</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Traditionally, businesses have spent billions of dollars on a patchwork of systems, including web and marketing analytics, business intelligence tools, and sentiment tools, to help understand how their digital product investments drive business outcomes. These tools were not built on product data and do not understand in-product behavior, nor were they built for the scale and complexity of digital products to provide actionable and real-time product-driven insights. Businesses today do not know if their strategic product decisions are the right ones, and they do not have the insights to help ensure they work.</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Digital analytics can show companies what users like about their products, where they get stuck, and what keeps them coming back. These insights enable companies to adapt their digital product experiences to each customer to maximize engagement, retention, and lifetime value. And they show companies how to innovate, what changes to make, and when to double down or go in a different direction.</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Product, data, engineering, and marketing teams are often forced to make business decisions in a vacuum and without understanding the linkage between product decisions and business outcomes. Digital analytics leverages the power of data-driven products to create this linkage automatically. In addition, having a common lens into customer and product data helps every team transform their function, from launching brand-defining marketing campaigns to reimagining customer support. Bringing shared data and common visibility to every team will be a business-critical requirement in the digital analytics era.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How Amplitude Powers Digital Analytics</w:t>
      </w:r>
    </w:p>
    <w:p>
      <w:pPr>
        <w:spacing w:after="0" w:line="121"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We built the first Digital Analytics Platform that brings together a new depth of customer understanding with the speed of action to optimize experiences. We power some of the most beloved and iconic consumer and B2B digital products. We enable businesses, regardless of size, industry, or where they are in their digital maturity, to unleash digital innovation and growth. Our system unifies product, marketing, data, and executive teams, by giving them the common visibility to drive business outcomes with agility and confidence.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Digital Analytics Platform consists of the following integrated solutions:</w:t>
      </w:r>
    </w:p>
    <w:p>
      <w:pPr>
        <w:spacing w:after="0" w:line="113" w:lineRule="exact"/>
        <w:rPr>
          <w:sz w:val="20"/>
          <w:szCs w:val="20"/>
          <w:color w:val="auto"/>
        </w:rPr>
      </w:pPr>
    </w:p>
    <w:p>
      <w:pPr>
        <w:ind w:left="1020" w:right="30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customer </w:t>
      </w:r>
      <w:r>
        <w:rPr>
          <w:rFonts w:ascii="Times New Roman" w:cs="Times New Roman" w:eastAsia="Times New Roman" w:hAnsi="Times New Roman"/>
          <w:sz w:val="18"/>
          <w:szCs w:val="18"/>
          <w:b w:val="1"/>
          <w:bCs w:val="1"/>
          <w:color w:val="auto"/>
        </w:rPr>
        <w:t>data infrastructure layer</w:t>
      </w:r>
      <w:r>
        <w:rPr>
          <w:rFonts w:ascii="Times New Roman" w:cs="Times New Roman" w:eastAsia="Times New Roman" w:hAnsi="Times New Roman"/>
          <w:sz w:val="18"/>
          <w:szCs w:val="18"/>
          <w:color w:val="auto"/>
        </w:rPr>
        <w:t xml:space="preserve"> that ensures data easily comes in, unifies, and stays high quality. This is foundational functionality embedded in Analytics that supports how customers analyze, activate, and test new digital products and experiences.</w:t>
      </w:r>
    </w:p>
    <w:p>
      <w:pPr>
        <w:spacing w:after="0" w:line="46" w:lineRule="exact"/>
        <w:rPr>
          <w:rFonts w:ascii="Times New Roman" w:cs="Times New Roman" w:eastAsia="Times New Roman" w:hAnsi="Times New Roman"/>
          <w:sz w:val="18"/>
          <w:szCs w:val="18"/>
          <w:color w:val="auto"/>
        </w:rPr>
      </w:pPr>
    </w:p>
    <w:p>
      <w:pPr>
        <w:ind w:left="1020" w:right="32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Amplitude Analytics, </w:t>
      </w:r>
      <w:r>
        <w:rPr>
          <w:rFonts w:ascii="Times New Roman" w:cs="Times New Roman" w:eastAsia="Times New Roman" w:hAnsi="Times New Roman"/>
          <w:sz w:val="18"/>
          <w:szCs w:val="18"/>
          <w:color w:val="auto"/>
        </w:rPr>
        <w:t>consistently ranked #1 in multiple categories by G2, provides real-time product data so cross-functional teams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what is working and what is not.</w:t>
      </w:r>
    </w:p>
    <w:p>
      <w:pPr>
        <w:spacing w:after="0" w:line="46" w:lineRule="exact"/>
        <w:rPr>
          <w:rFonts w:ascii="Times New Roman" w:cs="Times New Roman" w:eastAsia="Times New Roman" w:hAnsi="Times New Roman"/>
          <w:sz w:val="18"/>
          <w:szCs w:val="18"/>
          <w:color w:val="auto"/>
        </w:rPr>
      </w:pPr>
    </w:p>
    <w:p>
      <w:pPr>
        <w:ind w:left="1020" w:right="20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Experimentation</w:t>
      </w:r>
      <w:r>
        <w:rPr>
          <w:rFonts w:ascii="Times New Roman" w:cs="Times New Roman" w:eastAsia="Times New Roman" w:hAnsi="Times New Roman"/>
          <w:sz w:val="18"/>
          <w:szCs w:val="18"/>
          <w:color w:val="auto"/>
        </w:rPr>
        <w:t>, a product experimentation solution that is fully integrated with Analytics to plan, deliver, monitor, and analyze tests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changes.</w:t>
      </w:r>
    </w:p>
    <w:p>
      <w:pPr>
        <w:spacing w:after="0" w:line="46" w:lineRule="exact"/>
        <w:rPr>
          <w:rFonts w:ascii="Times New Roman" w:cs="Times New Roman" w:eastAsia="Times New Roman" w:hAnsi="Times New Roman"/>
          <w:sz w:val="18"/>
          <w:szCs w:val="18"/>
          <w:color w:val="auto"/>
        </w:rPr>
      </w:pPr>
    </w:p>
    <w:p>
      <w:pPr>
        <w:ind w:left="10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Audience Management </w:t>
      </w:r>
      <w:r>
        <w:rPr>
          <w:rFonts w:ascii="Times New Roman" w:cs="Times New Roman" w:eastAsia="Times New Roman" w:hAnsi="Times New Roman"/>
          <w:sz w:val="18"/>
          <w:szCs w:val="18"/>
          <w:color w:val="auto"/>
        </w:rPr>
        <w:t>tools leverage the first-party data in Analytics to build customized audience lists through behavioral segmentation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machine learning (“ML”) powered predictions. Customers can also deliver 1:1 personalization through ML powered content and product recommendations.</w:t>
      </w:r>
    </w:p>
    <w:p>
      <w:pPr>
        <w:spacing w:after="0" w:line="62" w:lineRule="exact"/>
        <w:rPr>
          <w:rFonts w:ascii="Times New Roman" w:cs="Times New Roman" w:eastAsia="Times New Roman" w:hAnsi="Times New Roman"/>
          <w:sz w:val="18"/>
          <w:szCs w:val="18"/>
          <w:color w:val="auto"/>
        </w:rPr>
      </w:pPr>
    </w:p>
    <w:p>
      <w:pPr>
        <w:ind w:left="1020" w:right="38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Streaming </w:t>
      </w:r>
      <w:r>
        <w:rPr>
          <w:rFonts w:ascii="Times New Roman" w:cs="Times New Roman" w:eastAsia="Times New Roman" w:hAnsi="Times New Roman"/>
          <w:sz w:val="18"/>
          <w:szCs w:val="18"/>
          <w:color w:val="auto"/>
        </w:rPr>
        <w:t>tools push event data and user profiles to other tools in customers’ stacks in real-time to destinations such as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platforms, ad networks, personalization engines, and others.</w:t>
      </w:r>
    </w:p>
    <w:p>
      <w:pPr>
        <w:spacing w:after="0" w:line="46" w:lineRule="exact"/>
        <w:rPr>
          <w:rFonts w:ascii="Times New Roman" w:cs="Times New Roman" w:eastAsia="Times New Roman" w:hAnsi="Times New Roman"/>
          <w:sz w:val="18"/>
          <w:szCs w:val="18"/>
          <w:color w:val="auto"/>
        </w:rPr>
      </w:pPr>
    </w:p>
    <w:p>
      <w:pPr>
        <w:ind w:left="1020" w:right="84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Amplitude CDP </w:t>
      </w:r>
      <w:r>
        <w:rPr>
          <w:rFonts w:ascii="Times New Roman" w:cs="Times New Roman" w:eastAsia="Times New Roman" w:hAnsi="Times New Roman"/>
          <w:sz w:val="18"/>
          <w:szCs w:val="18"/>
          <w:color w:val="auto"/>
        </w:rPr>
        <w:t>is an insight-driven solution that encompasses our data infrastructure, audience management, and data streaming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Customers may choose to purchase the whole CDP or one of the capabilities within it.</w:t>
      </w:r>
    </w:p>
    <w:p>
      <w:pPr>
        <w:spacing w:after="0" w:line="15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At the core of our Digital Analytics Platform is the Amplitude Behavioral Graph, a proprietary behavioral database purpose-built for complex, interactive behavioral queries, with novel approaches to normalizing, classifying, and partitioning behavioral data. The Behavioral Graph scales to look at every individual customer action taken in a digital product and identifies combinations of actions that lead to a desired outcome. The Behavioral Graph processes behavioral data points to help answer questions like why do users convert or drop off, which interactions predict likelihood to buy, and what are the most common paths users take.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Mission Critical to Our Customers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we serve almost 2,000 paying customers globally, from the most ambitious startups to the largest global enterprises. We are the trusted source of customer and product insight for the world’s leading data-driven, product-led digital companies and bring the same technology to the remaining companies that lack this expertise. We serve customers across virtually every industry, including finance, media, retail, industrials, hospitality, healthcare, and telecom, as well as companies in various stages of digital maturity. Digital analytics has become mission critical to companies of all sizes and in all industries to keep up with the pace of innovation required to survive in the digital-first world.</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Digital Analytics Platform is mission critical to our customers’ success. Within our largest customers, thousands of users leverage our system to drive better outcomes in their respective functional areas. The broad applicability and ease of use of our system results in significant commitments by our customers as part of their core technology stack. As of December 31, 2022 and 2021, we had 480 and 385 customers, respectively, that each represented greater than $100,000 in Annual Recurring Revenue (“ARR”) and 30 and 29 customers, respectively, that each represented greater than $1 million in ARR, demonstrating how critical we are to our customers’ success.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generate revenue primarily through selling subscriptions to our platform. We reach customers through an efficient direct sales motion, solution partners, and product-led growth initiatives, including subscription plans to meet the needs of a diverse range of companies. Our pricing model is based on both the platform functionality required by our customers as well as committed volume. For the year ended December 31, 2022, subscription revenue comprised 97% of our total revenue. Our customers typically look to use our platform for an initial business use case they have identified, such as analytics on a digital product. As our customers experience the value of our platform in helping to drive business outcomes in that initial use case, they frequently expand that initial use case, expand into new use cases, and expand into additional products. Examples of ways customers expand the use of our platform include the following:</w:t>
      </w:r>
    </w:p>
    <w:p>
      <w:pPr>
        <w:spacing w:after="0" w:line="81" w:lineRule="exact"/>
        <w:rPr>
          <w:sz w:val="20"/>
          <w:szCs w:val="20"/>
          <w:color w:val="auto"/>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expand an initial use case by tracking additional events on a digital product to gain greater insight into customer journeys or add additional functionality (e.g. predictive analytics, behavioral reports) to meet the needs of teams across the organization;</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expand into new use cases by using our platform for additional digital products in their digital product portfolio and empowering additional teams (e.g. product, marketing, engineering, analytics) responsible for those digital product;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expand by layering on additional offerings onto our core Analytics offering to power new capabilities to drive business outcomes.</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ability to expand within our customer base is also demonstrated by our strong dollar-based net retention rate. As of December 31, 2022 and 2021, our dollar-based net retention rate across paying customers was 119% and 123%,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is the New Battlefield for Business Survival</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Today, digital products are embedded in every part of our daily lives. The ability for companies to offer compelling digital products and services has become a matter of survival. Several mega-trends are forcing companies to move to digital first, including the continued rise of mobile and cloud, making it easier than ever for new entrants to disrupt existing markets through digital; the rise of the digital economy; and businesses' shift in focus from customer acquisition to customer retention.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Revenue Center is Shifting from Sales and Marketing to Product</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Once considered a cost center for the business, the digital product is now becoming the primary lever in a business to drive growth. The growing importance of product-led growth to a company’s survival has fundamentally shifted how companies go to market and invest in innovation.</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revenue center of a business is shifting away from acquisition-focused marketing and sales to retention and expansion through sustained customer engagement within digital products. User engagement, user behavior, customer retention rate, and customer lifetime value have become the new standard metrics to measure the productivity and efficiency of any business. Additionally, as heightened user and data privacy concerns move to limit the type of data app developers and advertisers can use or sell to target customers, it will become increasingly difficult for businesses to acquire their way to growth through traditional marketing and advertising initiatives.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Approach to Building Digital Products is Being Reinvented</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way that companies build digital products is going through a fundamental shift from being intuition-based to using data derived from the digital product itself to make decisions. Data-driven products:</w:t>
      </w:r>
    </w:p>
    <w:p>
      <w:pPr>
        <w:spacing w:after="0" w:line="52" w:lineRule="exact"/>
        <w:rPr>
          <w:sz w:val="20"/>
          <w:szCs w:val="20"/>
          <w:color w:val="auto"/>
        </w:rPr>
      </w:pPr>
    </w:p>
    <w:p>
      <w:pPr>
        <w:jc w:val="both"/>
        <w:ind w:left="1020" w:right="120" w:hanging="503"/>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Are Centered in Behavioral Data. </w:t>
      </w:r>
      <w:r>
        <w:rPr>
          <w:rFonts w:ascii="Times New Roman" w:cs="Times New Roman" w:eastAsia="Times New Roman" w:hAnsi="Times New Roman"/>
          <w:sz w:val="18"/>
          <w:szCs w:val="18"/>
          <w:color w:val="auto"/>
        </w:rPr>
        <w:t>The amount of time that consumers spend interacting with digital products has led to an explosion of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quantity and diversity of data. Because the digital products themselves are generators of data, this means that in-product behavior can be observed and analyzed for the first time.</w:t>
      </w:r>
    </w:p>
    <w:p>
      <w:pPr>
        <w:spacing w:after="0" w:line="65" w:lineRule="exact"/>
        <w:rPr>
          <w:rFonts w:ascii="Times New Roman" w:cs="Times New Roman" w:eastAsia="Times New Roman" w:hAnsi="Times New Roman"/>
          <w:sz w:val="18"/>
          <w:szCs w:val="18"/>
          <w:color w:val="auto"/>
        </w:rPr>
      </w:pPr>
    </w:p>
    <w:p>
      <w:pPr>
        <w:ind w:left="1020" w:right="260" w:hanging="503"/>
        <w:spacing w:after="0" w:line="267"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Adapt to the Customer. </w:t>
      </w:r>
      <w:r>
        <w:rPr>
          <w:rFonts w:ascii="Times New Roman" w:cs="Times New Roman" w:eastAsia="Times New Roman" w:hAnsi="Times New Roman"/>
          <w:sz w:val="18"/>
          <w:szCs w:val="18"/>
          <w:color w:val="auto"/>
        </w:rPr>
        <w:t>In a world of abundant choice, the expectations of consumers for businesses to deliver highly-personalized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experiences continues to be on the rise. The best-in-class digital companies leverage product data to build robust recommendation engines based on artificial intelligence (“AI”) and ML algorithms to deliver highly differentiated experiences at scale.</w:t>
      </w:r>
    </w:p>
    <w:p>
      <w:pPr>
        <w:spacing w:after="0" w:line="65" w:lineRule="exact"/>
        <w:rPr>
          <w:rFonts w:ascii="Times New Roman" w:cs="Times New Roman" w:eastAsia="Times New Roman" w:hAnsi="Times New Roman"/>
          <w:sz w:val="18"/>
          <w:szCs w:val="18"/>
          <w:color w:val="auto"/>
        </w:rPr>
      </w:pPr>
    </w:p>
    <w:p>
      <w:pPr>
        <w:ind w:left="1020" w:right="420" w:hanging="503"/>
        <w:spacing w:after="0" w:line="28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Leverage Data Democratization and Common Visibility. </w:t>
      </w:r>
      <w:r>
        <w:rPr>
          <w:rFonts w:ascii="Times New Roman" w:cs="Times New Roman" w:eastAsia="Times New Roman" w:hAnsi="Times New Roman"/>
          <w:sz w:val="18"/>
          <w:szCs w:val="18"/>
          <w:color w:val="auto"/>
        </w:rPr>
        <w:t>Between product management, engineering, design, marketing, sales,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 business operations, and executive teams, there may be thousands of people in an organization</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ind w:left="1020" w:right="100"/>
        <w:spacing w:after="0" w:line="277" w:lineRule="auto"/>
        <w:rPr>
          <w:sz w:val="20"/>
          <w:szCs w:val="20"/>
          <w:color w:val="auto"/>
        </w:rPr>
      </w:pPr>
      <w:r>
        <w:rPr>
          <w:rFonts w:ascii="Times New Roman" w:cs="Times New Roman" w:eastAsia="Times New Roman" w:hAnsi="Times New Roman"/>
          <w:sz w:val="17"/>
          <w:szCs w:val="17"/>
          <w:color w:val="auto"/>
        </w:rPr>
        <w:t>who rely on data as part of their daily responsibilities. Marketing and centralized data teams have traditionally been tasked with the responsibility of aggregating data from various data silos. They analyze data to extract insights and distribute regularly scheduled or ad-hoc reports to various stakeholders. This operating model creates significant barriers for making the data accessible to all who need it, relying on teams of data scientists to serve as intermediaries and tools that require SQL expertise. Even simple data requests can at times lead to weeks or months of cycle time, reducing the agility for business owners to get the data they need to make critical business and product decisions.</w:t>
      </w:r>
    </w:p>
    <w:p>
      <w:pPr>
        <w:spacing w:after="0" w:line="1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Data and insights are only valuable if they can be leveraged by cross-functional stakeholders jointly responsible for making decisions. When product data acts as a single source of truth, every team has access to the same common data to explore and reach alignment on shared goals and actions plans. Data-driven organizations that make data both accessible and actionable enable their teams to expedite the decision making process, thereby iterating on and improving their digital products with greater agility. The faster organizations are able to iterate, the stronger their systematic advantages are against competitors that lack such expertise. With digital products becoming the revenue center of business, a new generation of digital leaders that span across all functions within an organization is required.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Transformation Brings the Imperative of Digital Analytics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While digital transformation has long focused on building web-enabled customer experiences, the role that digital analytics plays is becoming increasingly important.</w:t>
      </w:r>
    </w:p>
    <w:p>
      <w:pPr>
        <w:spacing w:after="0" w:line="162"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Digital analytics brings product data to bear on decisions about how a business is run, how to accelerate product innovation, and how to drive growth. And its promise is rooted in the connection between product decisions and business outcomes.</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Digital analytics can show companies what users like about their products, where they get stuck, and what keeps them coming back. These insights enable companies to adapt their digital product experiences to each customer to maximize engagement, retention, and lifetime value. And they show companies how to innovate, what changes to make, and when to double down or go in a different direction–thereby answering the fundamental question of how their products drive their business growth.</w:t>
      </w:r>
    </w:p>
    <w:p>
      <w:pPr>
        <w:spacing w:after="0" w:line="180"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We believe digital analytics will continue to be a strategic business imperative as digital transformation continues at an accelerated pace across companies of all sizes. It will help make sense of the exponential increase in digital product and user behavioral data–and that the right product bets are made as a result.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Businesses Need a Fundamentally New Approach to Drive Digital Analytics</w:t>
      </w:r>
    </w:p>
    <w:p>
      <w:pPr>
        <w:spacing w:after="0" w:line="121" w:lineRule="exact"/>
        <w:rPr>
          <w:sz w:val="20"/>
          <w:szCs w:val="20"/>
          <w:color w:val="auto"/>
        </w:rPr>
      </w:pPr>
    </w:p>
    <w:p>
      <w:pPr>
        <w:jc w:val="both"/>
        <w:ind w:right="660" w:firstLine="509"/>
        <w:spacing w:after="0" w:line="266" w:lineRule="auto"/>
        <w:rPr>
          <w:sz w:val="20"/>
          <w:szCs w:val="20"/>
          <w:color w:val="auto"/>
        </w:rPr>
      </w:pPr>
      <w:r>
        <w:rPr>
          <w:rFonts w:ascii="Times New Roman" w:cs="Times New Roman" w:eastAsia="Times New Roman" w:hAnsi="Times New Roman"/>
          <w:sz w:val="18"/>
          <w:szCs w:val="18"/>
          <w:color w:val="auto"/>
        </w:rPr>
        <w:t>Businesses have spent billions of dollars on a patchwork of systems to help understand how their digital product investments drive business outcomes. However, these systems were not built for insight on product data in real time and at scale, leveraging the wrong data and undertaking a misguided approach.</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Why is product data different?</w:t>
      </w:r>
    </w:p>
    <w:p>
      <w:pPr>
        <w:spacing w:after="0" w:line="113" w:lineRule="exact"/>
        <w:rPr>
          <w:sz w:val="20"/>
          <w:szCs w:val="20"/>
          <w:color w:val="auto"/>
        </w:rPr>
      </w:pPr>
    </w:p>
    <w:p>
      <w:pPr>
        <w:ind w:left="1020" w:right="400" w:hanging="503"/>
        <w:spacing w:after="0" w:line="286"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Complexity. </w:t>
      </w:r>
      <w:r>
        <w:rPr>
          <w:rFonts w:ascii="Times New Roman" w:cs="Times New Roman" w:eastAsia="Times New Roman" w:hAnsi="Times New Roman"/>
          <w:sz w:val="18"/>
          <w:szCs w:val="18"/>
          <w:color w:val="auto"/>
        </w:rPr>
        <w:t>Digital products are complex, which means that product data operates at a qualitatively different scale than transactional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marketing data.</w:t>
      </w:r>
    </w:p>
    <w:p>
      <w:pPr>
        <w:spacing w:after="0" w:line="46" w:lineRule="exact"/>
        <w:rPr>
          <w:rFonts w:ascii="Times New Roman" w:cs="Times New Roman" w:eastAsia="Times New Roman" w:hAnsi="Times New Roman"/>
          <w:sz w:val="18"/>
          <w:szCs w:val="18"/>
          <w:b w:val="1"/>
          <w:bCs w:val="1"/>
          <w:color w:val="auto"/>
        </w:rPr>
      </w:pPr>
    </w:p>
    <w:p>
      <w:pPr>
        <w:ind w:left="1020" w:right="40" w:hanging="503"/>
        <w:spacing w:after="0" w:line="259"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Non-Linear. </w:t>
      </w:r>
      <w:r>
        <w:rPr>
          <w:rFonts w:ascii="Times New Roman" w:cs="Times New Roman" w:eastAsia="Times New Roman" w:hAnsi="Times New Roman"/>
          <w:sz w:val="18"/>
          <w:szCs w:val="18"/>
          <w:color w:val="auto"/>
        </w:rPr>
        <w:t>Unlike traditional marketing funnels where the goal is strictly increasing the conversion rate to the next step, users do not take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linear journey through a digital product. Based on our customer data, we estimate that, on average, there are approximately 2,500 distinct events that can be measured within each digital product. Each user therefore navigates through an application across multiple devices in a random walk that is unique from every other user. This effect makes it much harder to understand what is happening in the aggregate and generate insights at scale.</w:t>
      </w:r>
    </w:p>
    <w:p>
      <w:pPr>
        <w:spacing w:after="0" w:line="71" w:lineRule="exact"/>
        <w:rPr>
          <w:rFonts w:ascii="Times New Roman" w:cs="Times New Roman" w:eastAsia="Times New Roman" w:hAnsi="Times New Roman"/>
          <w:sz w:val="18"/>
          <w:szCs w:val="18"/>
          <w:b w:val="1"/>
          <w:bCs w:val="1"/>
          <w:color w:val="auto"/>
        </w:rPr>
      </w:pPr>
    </w:p>
    <w:p>
      <w:pPr>
        <w:ind w:left="1020" w:right="20" w:hanging="503"/>
        <w:spacing w:after="0" w:line="268" w:lineRule="auto"/>
        <w:tabs>
          <w:tab w:leader="none" w:pos="10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Scale. </w:t>
      </w:r>
      <w:r>
        <w:rPr>
          <w:rFonts w:ascii="Times New Roman" w:cs="Times New Roman" w:eastAsia="Times New Roman" w:hAnsi="Times New Roman"/>
          <w:sz w:val="18"/>
          <w:szCs w:val="18"/>
          <w:color w:val="auto"/>
        </w:rPr>
        <w:t>Combining the number of digital product users a company may have and the amount of engagement per user can result in billions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events per product. This scale presents near-insurmountable challenges for any business looking to optimize their digital products to drive outcomes on both a micro and macro level.</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sum of all this complexity means existing categories of software fail to understand product data and were not designed to adequately address the needs of today’s digital analytics era:</w:t>
      </w:r>
    </w:p>
    <w:p>
      <w:pPr>
        <w:spacing w:after="0" w:line="50" w:lineRule="exact"/>
        <w:rPr>
          <w:sz w:val="20"/>
          <w:szCs w:val="20"/>
          <w:color w:val="auto"/>
        </w:rPr>
      </w:pPr>
    </w:p>
    <w:p>
      <w:pPr>
        <w:ind w:left="1020" w:right="20" w:hanging="503"/>
        <w:spacing w:after="0" w:line="259"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Web and Marketing Analytics. </w:t>
      </w:r>
      <w:r>
        <w:rPr>
          <w:rFonts w:ascii="Times New Roman" w:cs="Times New Roman" w:eastAsia="Times New Roman" w:hAnsi="Times New Roman"/>
          <w:sz w:val="18"/>
          <w:szCs w:val="18"/>
          <w:color w:val="auto"/>
        </w:rPr>
        <w:t>These solutions focus on using web and demographic data to analyze target users and advertising spend.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were most relevant for the Web 1.0 era, when marketers focused on pageviews, campaign sources, clicks, and other surface-level metrics. They were not built for in-product and in-app behavior, deep personalization based on AI and ML, multi-platform end-user journeys, and modern digital measurements. Moreover, many of these solutions are built on a pre-computation data framework – whereby queries are completed in advance and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ind w:left="1020" w:right="120"/>
        <w:spacing w:after="0" w:line="266" w:lineRule="auto"/>
        <w:rPr>
          <w:sz w:val="20"/>
          <w:szCs w:val="20"/>
          <w:color w:val="auto"/>
        </w:rPr>
      </w:pPr>
      <w:r>
        <w:rPr>
          <w:rFonts w:ascii="Times New Roman" w:cs="Times New Roman" w:eastAsia="Times New Roman" w:hAnsi="Times New Roman"/>
          <w:sz w:val="18"/>
          <w:szCs w:val="18"/>
          <w:color w:val="auto"/>
        </w:rPr>
        <w:t>cached versus performed on the fly – which prohibits flexibility for real-time analysis. This data approach is incompatible with fast moving, collaborative teams that need easy-access data to find, ask, and answer in an iterative fashion and use data to power product experiences at the moment a user engages.</w:t>
      </w:r>
    </w:p>
    <w:p>
      <w:pPr>
        <w:spacing w:after="0" w:line="64" w:lineRule="exact"/>
        <w:rPr>
          <w:sz w:val="20"/>
          <w:szCs w:val="20"/>
          <w:color w:val="auto"/>
        </w:rPr>
      </w:pPr>
    </w:p>
    <w:p>
      <w:pPr>
        <w:ind w:left="1020" w:hanging="503"/>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Intelligence. </w:t>
      </w:r>
      <w:r>
        <w:rPr>
          <w:rFonts w:ascii="Times New Roman" w:cs="Times New Roman" w:eastAsia="Times New Roman" w:hAnsi="Times New Roman"/>
          <w:sz w:val="18"/>
          <w:szCs w:val="18"/>
          <w:color w:val="auto"/>
        </w:rPr>
        <w:t>These solutions are horizontally focused and built for reporting on object-level data and transactional data,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behavioral data. The implementation of these systems can often take years and requires significant investments in the form of teams specializing in data and analytics to deploy, maintain, and use. Oftentimes built on large data lakes of structured and unstructured data, data teams must scrub, clean, instrument, and canonicalize the data, and then use complex SQL queries to answer even the most basic questions. This process is cumbersome and slow because SQL queries are not designed for user-joins, which connect disparate end-user actions together and are the key to understanding end-user behavior in product, and leads to product and business teams being bottlenecked as they wait for answers. Even when these “blank canvas” environments have been custom built for non-technical users, they are often inflexible and disconnected from their workflows – leaving teams without answers or the ability to act.</w:t>
      </w:r>
    </w:p>
    <w:p>
      <w:pPr>
        <w:spacing w:after="0" w:line="76" w:lineRule="exact"/>
        <w:rPr>
          <w:rFonts w:ascii="Times New Roman" w:cs="Times New Roman" w:eastAsia="Times New Roman" w:hAnsi="Times New Roman"/>
          <w:sz w:val="18"/>
          <w:szCs w:val="18"/>
          <w:color w:val="auto"/>
        </w:rPr>
      </w:pPr>
    </w:p>
    <w:p>
      <w:pPr>
        <w:ind w:left="1020" w:right="80" w:hanging="503"/>
        <w:spacing w:after="0" w:line="26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Sentiment / Survey-based Solutions. </w:t>
      </w:r>
      <w:r>
        <w:rPr>
          <w:rFonts w:ascii="Times New Roman" w:cs="Times New Roman" w:eastAsia="Times New Roman" w:hAnsi="Times New Roman"/>
          <w:sz w:val="18"/>
          <w:szCs w:val="18"/>
          <w:color w:val="auto"/>
        </w:rPr>
        <w:t>These solutions are focused on uncovering and understanding customer sentiment to improve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experiences – often non-digital – and include qualitative measurements such as surveys. They are not designed to generate product insight and analyze behavioral data, limiting the applicability outside of customer service, researchers, and marketing teams. Relying on sentiment data in a silo provides an imprecise and incomplete picture of the customer and does not close the loop from insight to action.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Amplitude Digital Analytics Platform</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built the first Digital Analytics Platform that brings together a new depth of customer understanding with the speed of action to optimize experiences in the moment. It is the only unified system that answers the question: “How do your digital products drive your business?” We power the most-beloved digital products and teams with actionable data and insights – regardless of size, industry, or digital maturity – so they can unleash digital innovation and growth. We make critical data accessible and actionable to every team – allowing product, marketing, engineering, analytics, customer success, and executive teams to align around common visibility and to drive business outcomes with greater speed, agility, and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128270</wp:posOffset>
            </wp:positionV>
            <wp:extent cx="3986530" cy="3077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8653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today’s digital-first world, we believe every organization must transform to data-driven teams and products that create competitive advantages and long-term value for both their customers and businesses. A Digital Analytics Platform is essential in this new reality – helping businesses understand how their customers use their products, make better decisions, build personalized experiences that engage and retain customers, and measure performance. With Amplitude, teams have access to a fully integrated, self-service system for data, analytics, and personalization – with intelligence and collaboration built in to help teams innovate faster and smarter.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9" w:name="page10"/>
    <w:bookmarkEnd w:id="9"/>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For instance, we helped a leader in online food delivery answer, “What is the most profitable delivery model that also maximizes order frequency and size?” A popular meditation app discovered the answer to, “How can we redesign our content and app to increase user retention?” And a software company aligned thousands of users across the organization around key metrics and explored questions like, “Why do certain marketing channels show high engagement but low downstream user conversions and revenue?”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Digital Analytics Platform consists of the following integrated components:</w:t>
      </w:r>
    </w:p>
    <w:p>
      <w:pPr>
        <w:spacing w:after="0" w:line="113" w:lineRule="exact"/>
        <w:rPr>
          <w:sz w:val="20"/>
          <w:szCs w:val="20"/>
          <w:color w:val="auto"/>
        </w:rPr>
      </w:pPr>
    </w:p>
    <w:p>
      <w:pPr>
        <w:ind w:left="1020" w:right="38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customer </w:t>
      </w:r>
      <w:r>
        <w:rPr>
          <w:rFonts w:ascii="Times New Roman" w:cs="Times New Roman" w:eastAsia="Times New Roman" w:hAnsi="Times New Roman"/>
          <w:sz w:val="18"/>
          <w:szCs w:val="18"/>
          <w:b w:val="1"/>
          <w:bCs w:val="1"/>
          <w:color w:val="auto"/>
        </w:rPr>
        <w:t>data infrastructure layer</w:t>
      </w:r>
      <w:r>
        <w:rPr>
          <w:rFonts w:ascii="Times New Roman" w:cs="Times New Roman" w:eastAsia="Times New Roman" w:hAnsi="Times New Roman"/>
          <w:sz w:val="18"/>
          <w:szCs w:val="18"/>
          <w:color w:val="auto"/>
        </w:rPr>
        <w:t xml:space="preserve"> that ensure data easily comes in, unifies, and stays high quality. This is foundational functionality embedded in Analytics that supports how customers analyze, activate, and test new digital products and experiences.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Amplitude Analytics</w:t>
      </w:r>
      <w:r>
        <w:rPr>
          <w:rFonts w:ascii="Times New Roman" w:cs="Times New Roman" w:eastAsia="Times New Roman" w:hAnsi="Times New Roman"/>
          <w:sz w:val="18"/>
          <w:szCs w:val="18"/>
          <w:color w:val="auto"/>
        </w:rPr>
        <w:t>– our core platform of analytics capabilities, which includes:</w:t>
      </w:r>
    </w:p>
    <w:p>
      <w:pPr>
        <w:spacing w:after="0" w:line="117" w:lineRule="exact"/>
        <w:rPr>
          <w:rFonts w:ascii="Times New Roman" w:cs="Times New Roman" w:eastAsia="Times New Roman" w:hAnsi="Times New Roman"/>
          <w:sz w:val="18"/>
          <w:szCs w:val="18"/>
          <w:color w:val="auto"/>
        </w:rPr>
      </w:pPr>
    </w:p>
    <w:p>
      <w:pPr>
        <w:ind w:left="1540" w:right="280" w:hanging="514"/>
        <w:spacing w:after="0" w:line="268"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Analytics: </w:t>
      </w:r>
      <w:r>
        <w:rPr>
          <w:rFonts w:ascii="Times New Roman" w:cs="Times New Roman" w:eastAsia="Times New Roman" w:hAnsi="Times New Roman"/>
          <w:sz w:val="18"/>
          <w:szCs w:val="18"/>
          <w:color w:val="auto"/>
        </w:rPr>
        <w:t>Tools and processes used to understand the behavior of users across products or services to inform decisions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how to improve the product experience and increase product engagement. Self-serve insight into user behaviors and journey, feature adoption, user conversions and retention, and experimentation.</w:t>
      </w:r>
    </w:p>
    <w:p>
      <w:pPr>
        <w:spacing w:after="0" w:line="62"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Marketing Analytics: </w:t>
      </w:r>
      <w:r>
        <w:rPr>
          <w:rFonts w:ascii="Times New Roman" w:cs="Times New Roman" w:eastAsia="Times New Roman" w:hAnsi="Times New Roman"/>
          <w:sz w:val="18"/>
          <w:szCs w:val="18"/>
          <w:color w:val="auto"/>
        </w:rPr>
        <w:t>Reporting on campaign and content performance and website traffic.</w:t>
      </w:r>
    </w:p>
    <w:p>
      <w:pPr>
        <w:spacing w:after="0" w:line="117" w:lineRule="exact"/>
        <w:rPr>
          <w:rFonts w:ascii="Times New Roman" w:cs="Times New Roman" w:eastAsia="Times New Roman" w:hAnsi="Times New Roman"/>
          <w:sz w:val="18"/>
          <w:szCs w:val="18"/>
          <w:color w:val="auto"/>
        </w:rPr>
      </w:pPr>
    </w:p>
    <w:p>
      <w:pPr>
        <w:ind w:left="1540" w:right="80" w:hanging="514"/>
        <w:spacing w:after="0" w:line="28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 Analytics: </w:t>
      </w:r>
      <w:r>
        <w:rPr>
          <w:rFonts w:ascii="Times New Roman" w:cs="Times New Roman" w:eastAsia="Times New Roman" w:hAnsi="Times New Roman"/>
          <w:sz w:val="18"/>
          <w:szCs w:val="18"/>
          <w:color w:val="auto"/>
        </w:rPr>
        <w:t>Tools that provide diagnostic insights into visitor activity and the customer experience on responsive web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mobile apps, enabled by advanced analytics and ML, session replay, and heat map technology.</w:t>
      </w:r>
    </w:p>
    <w:p>
      <w:pPr>
        <w:spacing w:after="0" w:line="46" w:lineRule="exact"/>
        <w:rPr>
          <w:rFonts w:ascii="Times New Roman" w:cs="Times New Roman" w:eastAsia="Times New Roman" w:hAnsi="Times New Roman"/>
          <w:sz w:val="18"/>
          <w:szCs w:val="18"/>
          <w:color w:val="auto"/>
        </w:rPr>
      </w:pPr>
    </w:p>
    <w:p>
      <w:pPr>
        <w:ind w:left="1540" w:right="140" w:hanging="514"/>
        <w:spacing w:after="0" w:line="28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AI-Driven Alerts: </w:t>
      </w:r>
      <w:r>
        <w:rPr>
          <w:rFonts w:ascii="Times New Roman" w:cs="Times New Roman" w:eastAsia="Times New Roman" w:hAnsi="Times New Roman"/>
          <w:sz w:val="18"/>
          <w:szCs w:val="18"/>
          <w:color w:val="auto"/>
        </w:rPr>
        <w:t>Automated monitoring, anomaly detection, and root cause analysis powered by ML to alert customers to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customer engagement.</w:t>
      </w:r>
    </w:p>
    <w:p>
      <w:pPr>
        <w:spacing w:after="0" w:line="46" w:lineRule="exact"/>
        <w:rPr>
          <w:rFonts w:ascii="Times New Roman" w:cs="Times New Roman" w:eastAsia="Times New Roman" w:hAnsi="Times New Roman"/>
          <w:sz w:val="18"/>
          <w:szCs w:val="18"/>
          <w:color w:val="auto"/>
        </w:rPr>
      </w:pPr>
    </w:p>
    <w:p>
      <w:pPr>
        <w:ind w:left="1020" w:right="20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Experimentation, </w:t>
      </w:r>
      <w:r>
        <w:rPr>
          <w:rFonts w:ascii="Times New Roman" w:cs="Times New Roman" w:eastAsia="Times New Roman" w:hAnsi="Times New Roman"/>
          <w:sz w:val="18"/>
          <w:szCs w:val="18"/>
          <w:color w:val="auto"/>
        </w:rPr>
        <w:t>a product experimentation solution that is fully integrated with Analytics to plan, deliver, monitor, and analyze tests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changes.</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Audience Management </w:t>
      </w:r>
      <w:r>
        <w:rPr>
          <w:rFonts w:ascii="Times New Roman" w:cs="Times New Roman" w:eastAsia="Times New Roman" w:hAnsi="Times New Roman"/>
          <w:sz w:val="18"/>
          <w:szCs w:val="18"/>
          <w:color w:val="auto"/>
        </w:rPr>
        <w:t>tools leverage the first-party data in Analytics to build customized audience lists through behavioral segmentation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ML powered predictions. Customers can also deliver 1:1 personalization through ML powered content and product recommendations.</w:t>
      </w:r>
    </w:p>
    <w:p>
      <w:pPr>
        <w:spacing w:after="0" w:line="46" w:lineRule="exact"/>
        <w:rPr>
          <w:rFonts w:ascii="Times New Roman" w:cs="Times New Roman" w:eastAsia="Times New Roman" w:hAnsi="Times New Roman"/>
          <w:sz w:val="18"/>
          <w:szCs w:val="18"/>
          <w:color w:val="auto"/>
        </w:rPr>
      </w:pPr>
    </w:p>
    <w:p>
      <w:pPr>
        <w:ind w:left="1020" w:right="38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Streaming </w:t>
      </w:r>
      <w:r>
        <w:rPr>
          <w:rFonts w:ascii="Times New Roman" w:cs="Times New Roman" w:eastAsia="Times New Roman" w:hAnsi="Times New Roman"/>
          <w:sz w:val="18"/>
          <w:szCs w:val="18"/>
          <w:color w:val="auto"/>
        </w:rPr>
        <w:t>tools push event data and user profiles to other tools in customers’ stacks in real-time to destinations such as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platforms, ad networks, personalization engines, and others.</w:t>
      </w:r>
    </w:p>
    <w:p>
      <w:pPr>
        <w:spacing w:after="0" w:line="46" w:lineRule="exact"/>
        <w:rPr>
          <w:rFonts w:ascii="Times New Roman" w:cs="Times New Roman" w:eastAsia="Times New Roman" w:hAnsi="Times New Roman"/>
          <w:sz w:val="18"/>
          <w:szCs w:val="18"/>
          <w:color w:val="auto"/>
        </w:rPr>
      </w:pPr>
    </w:p>
    <w:p>
      <w:pPr>
        <w:ind w:left="1020" w:right="84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Amplitude CDP </w:t>
      </w:r>
      <w:r>
        <w:rPr>
          <w:rFonts w:ascii="Times New Roman" w:cs="Times New Roman" w:eastAsia="Times New Roman" w:hAnsi="Times New Roman"/>
          <w:sz w:val="18"/>
          <w:szCs w:val="18"/>
          <w:color w:val="auto"/>
        </w:rPr>
        <w:t>is an insight-driven solution that encompasses our data infrastructure, audience management, and data streaming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Customers may choose to purchase the whole CDP or one of the capabilities within it.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power digital analytics for our customers through the following key system capabilities:</w:t>
      </w:r>
    </w:p>
    <w:p>
      <w:pPr>
        <w:spacing w:after="0" w:line="113" w:lineRule="exact"/>
        <w:rPr>
          <w:sz w:val="20"/>
          <w:szCs w:val="20"/>
          <w:color w:val="auto"/>
        </w:rPr>
      </w:pPr>
    </w:p>
    <w:p>
      <w:pPr>
        <w:ind w:left="1020" w:right="20" w:hanging="503"/>
        <w:spacing w:after="0" w:line="25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Behavioral Data at the Core. </w:t>
      </w:r>
      <w:r>
        <w:rPr>
          <w:rFonts w:ascii="Times New Roman" w:cs="Times New Roman" w:eastAsia="Times New Roman" w:hAnsi="Times New Roman"/>
          <w:sz w:val="18"/>
          <w:szCs w:val="18"/>
          <w:color w:val="auto"/>
        </w:rPr>
        <w:t>We designed data and ML infrastructure purpose-built to understand cross-device and cross-product end-user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 enabling businesses to see, analyze, and act on behavioral data. Our infrastructure is structured around user-joins and partitioned by end users, which is the key to understanding end user behavior in-product. The Amplitude Behavioral Graph processes behavioral data points to help answer questions like why users convert or drop off, which interactions predict likelihood to buy, and what are the most common paths end users take.</w:t>
      </w:r>
    </w:p>
    <w:p>
      <w:pPr>
        <w:spacing w:after="0" w:line="71" w:lineRule="exact"/>
        <w:rPr>
          <w:rFonts w:ascii="Times New Roman" w:cs="Times New Roman" w:eastAsia="Times New Roman" w:hAnsi="Times New Roman"/>
          <w:sz w:val="18"/>
          <w:szCs w:val="18"/>
          <w:color w:val="auto"/>
        </w:rPr>
      </w:pPr>
    </w:p>
    <w:p>
      <w:pPr>
        <w:ind w:left="1020" w:right="140" w:hanging="503"/>
        <w:spacing w:after="0" w:line="26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Built-In Data Management. </w:t>
      </w:r>
      <w:r>
        <w:rPr>
          <w:rFonts w:ascii="Times New Roman" w:cs="Times New Roman" w:eastAsia="Times New Roman" w:hAnsi="Times New Roman"/>
          <w:sz w:val="18"/>
          <w:szCs w:val="18"/>
          <w:color w:val="auto"/>
        </w:rPr>
        <w:t>Our system includes a comprehensive, built-in data integration and governance suite to plan, integrate,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 large, distributed data sources in real time. It automatically resolves user identities, normalizes and transforms data into one stream, and governs data quality, consistency, and access across organizations of any size, which is critical for analytics and personalization initiatives.</w:t>
      </w:r>
    </w:p>
    <w:p>
      <w:pPr>
        <w:spacing w:after="0" w:line="68" w:lineRule="exact"/>
        <w:rPr>
          <w:rFonts w:ascii="Times New Roman" w:cs="Times New Roman" w:eastAsia="Times New Roman" w:hAnsi="Times New Roman"/>
          <w:sz w:val="18"/>
          <w:szCs w:val="18"/>
          <w:color w:val="auto"/>
        </w:rPr>
      </w:pPr>
    </w:p>
    <w:p>
      <w:pPr>
        <w:ind w:left="1020" w:right="200" w:hanging="503"/>
        <w:spacing w:after="0" w:line="26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Real-time Analytics and Insight. </w:t>
      </w:r>
      <w:r>
        <w:rPr>
          <w:rFonts w:ascii="Times New Roman" w:cs="Times New Roman" w:eastAsia="Times New Roman" w:hAnsi="Times New Roman"/>
          <w:sz w:val="18"/>
          <w:szCs w:val="18"/>
          <w:color w:val="auto"/>
        </w:rPr>
        <w:t>We provide the market-leading product analytics solution that enables teams to access out-of-the-box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to instantly answer both simple and complex questions about product and customer behaviors. Teams can easily analyze any end-user path across multiple devices, products, and channels from an aggregate to individual end-user level to understand the context behind every end-user action and identify opportunities to improve the digital product experience.</w:t>
      </w:r>
    </w:p>
    <w:p>
      <w:pPr>
        <w:spacing w:after="0" w:line="68" w:lineRule="exact"/>
        <w:rPr>
          <w:rFonts w:ascii="Times New Roman" w:cs="Times New Roman" w:eastAsia="Times New Roman" w:hAnsi="Times New Roman"/>
          <w:sz w:val="18"/>
          <w:szCs w:val="18"/>
          <w:color w:val="auto"/>
        </w:rPr>
      </w:pPr>
    </w:p>
    <w:p>
      <w:pPr>
        <w:ind w:left="1020" w:right="180" w:hanging="503"/>
        <w:spacing w:after="0" w:line="259"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Easy Adoption and Collaboration. </w:t>
      </w:r>
      <w:r>
        <w:rPr>
          <w:rFonts w:ascii="Times New Roman" w:cs="Times New Roman" w:eastAsia="Times New Roman" w:hAnsi="Times New Roman"/>
          <w:sz w:val="18"/>
          <w:szCs w:val="18"/>
          <w:color w:val="auto"/>
        </w:rPr>
        <w:t>Our system provides an easy-to-use interface that allows for viral adoption and democratization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insights within an organization, regardless of technical abilities. Within minutes a new customer on our system can start generating insights relevant to their respective functional areas and engaging with collaborative dashboards, reports, and tools that allow a broad spectrum of people in an organization to participate in data-driven decision making. This ease of use fuels cross-functional adoption that can scale to thousands of active users surfacing insights and sharing findings.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1020" w:right="40" w:hanging="503"/>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Powering Data-Driven Action. </w:t>
      </w:r>
      <w:r>
        <w:rPr>
          <w:rFonts w:ascii="Times New Roman" w:cs="Times New Roman" w:eastAsia="Times New Roman" w:hAnsi="Times New Roman"/>
          <w:sz w:val="18"/>
          <w:szCs w:val="18"/>
          <w:color w:val="auto"/>
        </w:rPr>
        <w:t>Our system allows teams to directly turn end-user insight into action with personalized, Netflix-like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 in a few clicks and without requiring technical expertise. We use sophisticated identity resolution and targeting to reach the right end user, ML recommendations to decide the right content, and real-time integrations with systems our customers already use for delivery at the right time. Additionally, our customers can deploy and test new experiences using the first experimentation and feature management solution powered by behavioral data and product analytics. For example, our system can predict the likelihood a customer will churn based on their behavior and of those statistically similar, and the system will automatically test which campaign or in-product experience is best optimized to drive retention.</w:t>
      </w:r>
    </w:p>
    <w:p>
      <w:pPr>
        <w:spacing w:after="0" w:line="74" w:lineRule="exact"/>
        <w:rPr>
          <w:rFonts w:ascii="Times New Roman" w:cs="Times New Roman" w:eastAsia="Times New Roman" w:hAnsi="Times New Roman"/>
          <w:sz w:val="18"/>
          <w:szCs w:val="18"/>
          <w:color w:val="auto"/>
        </w:rPr>
      </w:pPr>
    </w:p>
    <w:p>
      <w:pPr>
        <w:jc w:val="both"/>
        <w:ind w:left="1020" w:right="160" w:hanging="503"/>
        <w:spacing w:after="0" w:line="26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Enterprise-grade Platform. </w:t>
      </w:r>
      <w:r>
        <w:rPr>
          <w:rFonts w:ascii="Times New Roman" w:cs="Times New Roman" w:eastAsia="Times New Roman" w:hAnsi="Times New Roman"/>
          <w:sz w:val="18"/>
          <w:szCs w:val="18"/>
          <w:color w:val="auto"/>
        </w:rPr>
        <w:t>Our platform is architected to handle a scale qualitatively different from what is capable by existing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engagement and experience tools. We offer top-tier security and reliability as our platform is SOC2 Type-2 and ISO 27001 certified, offers single sign-on support and user permissioning, is a recognized AWS Partner for Digital Customer Experience, and has delivered a 99.99% data ingestion uptime service-level agreement (“SLA”) with 100% data durability for the year ended December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Benefits to Our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system provides the following key benefits to our customers:</w:t>
      </w:r>
    </w:p>
    <w:p>
      <w:pPr>
        <w:spacing w:after="0" w:line="113" w:lineRule="exact"/>
        <w:rPr>
          <w:sz w:val="20"/>
          <w:szCs w:val="20"/>
          <w:color w:val="auto"/>
        </w:rPr>
      </w:pPr>
    </w:p>
    <w:p>
      <w:pPr>
        <w:ind w:left="1020" w:hanging="503"/>
        <w:spacing w:after="0" w:line="257"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Enable the Right Product Bets and Accelerate Innovation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enable our customers to answer the critical questions about how their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users are using their digital products and what behaviors lead to better business outcomes. Every click, every interaction, and every event we collect is input from end users that help to inform what actions teams can take to optimize digital products in real time. Our customers are able to analyze behaviors, track engagement, spot friction in the buying process, and understand the drivers of conversion. These insights allow teams to make the right product bets, assess and measure the impact of those decisions, feed learnings back into the system, and rapidly iterate to resolve potential problems before they impact customer acquisition, retention, and lifetime value.</w:t>
      </w:r>
    </w:p>
    <w:p>
      <w:pPr>
        <w:spacing w:after="0" w:line="74" w:lineRule="exact"/>
        <w:rPr>
          <w:rFonts w:ascii="Times New Roman" w:cs="Times New Roman" w:eastAsia="Times New Roman" w:hAnsi="Times New Roman"/>
          <w:sz w:val="18"/>
          <w:szCs w:val="18"/>
          <w:color w:val="auto"/>
        </w:rPr>
      </w:pPr>
    </w:p>
    <w:p>
      <w:pPr>
        <w:ind w:left="1020" w:right="220" w:hanging="503"/>
        <w:spacing w:after="0" w:line="25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Unify Teams with Common Visibility. </w:t>
      </w:r>
      <w:r>
        <w:rPr>
          <w:rFonts w:ascii="Times New Roman" w:cs="Times New Roman" w:eastAsia="Times New Roman" w:hAnsi="Times New Roman"/>
          <w:sz w:val="18"/>
          <w:szCs w:val="18"/>
          <w:color w:val="auto"/>
        </w:rPr>
        <w:t>We bring a common set of user behavior and in-product engagement data to every team,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to marketing, to data science, and beyond. Out-of-the-box dashboards and analytics reports provide common visibility leveraging the same data, while teams can easily click into each report to get as much granularity as required to inform actions and recommendations. Dashboards allow teams to also solve use cases specific to their area of responsibility, for example, understanding what behavior drives conversions to optimize marketing campaigns. This visibility results in better decisions, faster actions, better outcomes, and transformed customer experiences. Our system represents a single source of truth about in-product customer user behavior, and a common place where teams can share results, learn from each other, and plan action together.</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Maximize Value of Product Investments. </w:t>
      </w:r>
      <w:r>
        <w:rPr>
          <w:rFonts w:ascii="Times New Roman" w:cs="Times New Roman" w:eastAsia="Times New Roman" w:hAnsi="Times New Roman"/>
          <w:sz w:val="18"/>
          <w:szCs w:val="18"/>
          <w:color w:val="auto"/>
        </w:rPr>
        <w:t>The ability of our system to attribute revenue to specific product investments transforms what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traditionally been viewed as a cost center into a revenue center. This ability unleashes a much more powerful way to operate when companies can make investments with confidence and drive product-led growth.</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113" w:lineRule="exact"/>
        <w:rPr>
          <w:sz w:val="20"/>
          <w:szCs w:val="20"/>
          <w:color w:val="auto"/>
        </w:rPr>
      </w:pPr>
    </w:p>
    <w:p>
      <w:pPr>
        <w:ind w:left="1020" w:right="60" w:hanging="503"/>
        <w:spacing w:after="0" w:line="254"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Acquire New Customers Across Every Industry. </w:t>
      </w:r>
      <w:r>
        <w:rPr>
          <w:rFonts w:ascii="Times New Roman" w:cs="Times New Roman" w:eastAsia="Times New Roman" w:hAnsi="Times New Roman"/>
          <w:sz w:val="18"/>
          <w:szCs w:val="18"/>
          <w:color w:val="auto"/>
        </w:rPr>
        <w:t>We believe that our Digital Analytics Platform is applicable to businesses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industries, company size, and stage of digital maturity. We plan to invest to capture the significant market opportunity we believe is only in its early innings. We have experienced rapid growth in our customer base since our inception and had 1,994 paying customers and 28 of the Fortune 100 as of December 31, 2022, which demonstrates both our successful traction to date as well as our significant opportunity to continue to penetrate the largest global organizations. We believe we have an efficient and productive go-to-market motion that will allow us to continue to acquire new customers and grow our customer base. Additionally, as more companies and industries continue their transformation into digital-first companies, we believe our immediate potential customer base will grow as we help these companies address their digital analytics needs. We are focused on winning key reference accounts among industries and emerging use cases to establish ourselves as the system of choice for the next wave of digital innovation.</w:t>
      </w:r>
    </w:p>
    <w:p>
      <w:pPr>
        <w:spacing w:after="0" w:line="80" w:lineRule="exact"/>
        <w:rPr>
          <w:rFonts w:ascii="Times New Roman" w:cs="Times New Roman" w:eastAsia="Times New Roman" w:hAnsi="Times New Roman"/>
          <w:sz w:val="18"/>
          <w:szCs w:val="18"/>
          <w:color w:val="auto"/>
        </w:rPr>
      </w:pPr>
    </w:p>
    <w:p>
      <w:pPr>
        <w:ind w:left="1020" w:right="260" w:hanging="503"/>
        <w:spacing w:after="0" w:line="26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Across Our Existing Customer Base. </w:t>
      </w:r>
      <w:r>
        <w:rPr>
          <w:rFonts w:ascii="Times New Roman" w:cs="Times New Roman" w:eastAsia="Times New Roman" w:hAnsi="Times New Roman"/>
          <w:sz w:val="18"/>
          <w:szCs w:val="18"/>
          <w:color w:val="auto"/>
        </w:rPr>
        <w:t>We believe that there are significant opportunities to continue to expand our relationships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our existing customers. Our pricing model, based on platform functionality and committed event volume, allows us to grow as our customers grow. We employ a land and expand business model designed to land with an initial use case and expand through onboarding additional functional teams, products, and use cases.</w:t>
      </w:r>
    </w:p>
    <w:p>
      <w:pPr>
        <w:spacing w:after="0" w:line="70" w:lineRule="exact"/>
        <w:rPr>
          <w:sz w:val="20"/>
          <w:szCs w:val="20"/>
          <w:color w:val="auto"/>
        </w:rPr>
      </w:pPr>
    </w:p>
    <w:p>
      <w:pPr>
        <w:ind w:left="1540" w:hanging="514"/>
        <w:spacing w:after="0" w:line="284"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Promote Upsell: </w:t>
      </w:r>
      <w:r>
        <w:rPr>
          <w:rFonts w:ascii="Times New Roman" w:cs="Times New Roman" w:eastAsia="Times New Roman" w:hAnsi="Times New Roman"/>
          <w:sz w:val="18"/>
          <w:szCs w:val="18"/>
          <w:color w:val="auto"/>
        </w:rPr>
        <w:t>Once a customer is on our platform there are many ways we can promote upsell opportunities. Customers can expand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initial use case by adding additional events or functionality to generate deeper analytics.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1" w:name="page12"/>
    <w:bookmarkEnd w:id="11"/>
    <w:p>
      <w:pPr>
        <w:ind w:left="1540" w:right="100"/>
        <w:spacing w:after="0" w:line="261" w:lineRule="auto"/>
        <w:rPr>
          <w:sz w:val="20"/>
          <w:szCs w:val="20"/>
          <w:color w:val="auto"/>
        </w:rPr>
      </w:pPr>
      <w:r>
        <w:rPr>
          <w:rFonts w:ascii="Times New Roman" w:cs="Times New Roman" w:eastAsia="Times New Roman" w:hAnsi="Times New Roman"/>
          <w:sz w:val="18"/>
          <w:szCs w:val="18"/>
          <w:color w:val="auto"/>
        </w:rPr>
        <w:t>They can also expand into additional functional teams who are looking to address a related use case or bring new digital products on our platform, both of which require additional data to be instrumented. As the strategic value of our platform grows as more data is instrumented and insights generated and shared, it becomes easier to find additional upsell opportunities across digital products, use cases, and teams.</w:t>
      </w:r>
    </w:p>
    <w:p>
      <w:pPr>
        <w:spacing w:after="0" w:line="70" w:lineRule="exact"/>
        <w:rPr>
          <w:sz w:val="20"/>
          <w:szCs w:val="20"/>
          <w:color w:val="auto"/>
        </w:rPr>
      </w:pPr>
    </w:p>
    <w:p>
      <w:pPr>
        <w:ind w:left="1540" w:right="340" w:hanging="514"/>
        <w:spacing w:after="0" w:line="284"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Drive Cross-sell: </w:t>
      </w:r>
      <w:r>
        <w:rPr>
          <w:rFonts w:ascii="Times New Roman" w:cs="Times New Roman" w:eastAsia="Times New Roman" w:hAnsi="Times New Roman"/>
          <w:sz w:val="18"/>
          <w:szCs w:val="18"/>
          <w:color w:val="auto"/>
        </w:rPr>
        <w:t>Our platform delivers end-to-end capabilities that allow our customers to expand beyond analytics and layer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products.</w:t>
      </w:r>
    </w:p>
    <w:p>
      <w:pPr>
        <w:spacing w:after="0" w:line="16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Within our largest customers, we have demonstrated our ability to grow our reach to include thousands of users across their organization who leverage our system to drive business outcomes. Our dollar-based net retention rate as of December 31, 2022 and 2021 was 119% and 123%, respectively, for paying customers. As of December 31, 2022 and 2021, we had 480 and 385 customers, respectively, that each represented greater than $100,000 in ARR and 30 and 29 customers, respectively, that each represented greater than $1 million in ARR, demonstrating how critical we are to our customers’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128270</wp:posOffset>
            </wp:positionV>
            <wp:extent cx="4543425" cy="255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4342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20" w:right="20" w:hanging="503"/>
        <w:spacing w:after="0" w:line="26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Extend Product Leadership with Continued Investment in Our Platform. </w:t>
      </w:r>
      <w:r>
        <w:rPr>
          <w:rFonts w:ascii="Times New Roman" w:cs="Times New Roman" w:eastAsia="Times New Roman" w:hAnsi="Times New Roman"/>
          <w:sz w:val="18"/>
          <w:szCs w:val="18"/>
          <w:color w:val="auto"/>
        </w:rPr>
        <w:t>We see significant opportunities to leverage the same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stream powering our core analytics suite to layer on additional products that address adjacent high-value use cases desired by our customers. As a product-led company, the valuable feedback loop we have established with our own customers helps us identify product and platform enhancements best aligned to drive our future growth.</w:t>
      </w:r>
    </w:p>
    <w:p>
      <w:pPr>
        <w:spacing w:after="0" w:line="68" w:lineRule="exact"/>
        <w:rPr>
          <w:rFonts w:ascii="Times New Roman" w:cs="Times New Roman" w:eastAsia="Times New Roman" w:hAnsi="Times New Roman"/>
          <w:sz w:val="18"/>
          <w:szCs w:val="18"/>
          <w:color w:val="auto"/>
        </w:rPr>
      </w:pPr>
    </w:p>
    <w:p>
      <w:pPr>
        <w:ind w:left="1020" w:hanging="503"/>
        <w:spacing w:after="0" w:line="26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our Global and Partnership Reach. </w:t>
      </w:r>
      <w:r>
        <w:rPr>
          <w:rFonts w:ascii="Times New Roman" w:cs="Times New Roman" w:eastAsia="Times New Roman" w:hAnsi="Times New Roman"/>
          <w:sz w:val="18"/>
          <w:szCs w:val="18"/>
          <w:color w:val="auto"/>
        </w:rPr>
        <w:t>We believe there is significant potential to continue to grow our business in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because of the universal nature of the problem we help to solve. For the years ended December 31, 2022 and 2021, 38% and 36% of our revenue was generated outside of the United States, respectively. Additionally, we plan to continue to invest in our partner network to strengthen our ecosystem and extend our reach.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Platform and Technology</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Data enters our system through many sources, including our software-development kits (“SDKs”), server side, and integration with our partner systems. It then goes through the processing and cleanup stage before being stored in our behavioral graph which is a user-oriented distributed columnar data store. Our Behavioral Graph powers the analytics, collaboration, prediction, and recommendation platform.</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designed a system that can process large amounts of data and provide an interactive query/response model. Instead of building a general purpose data storage and processing system similar to data warehouses that would require our users to know SQL and wait a long time to get answers to their analytics-oriented join-heavy queries, we have built a brand new system from the ground up focused on end-user behavior analysis that is optimized to ingest, process, and store it in a specific format, and structure to power low latency query/response.</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Real-time Data Management</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underpinning of the Digital Analytics Platform is our real-time Data Management layer. This layer includes our core data platform that offers our customers a number of tools and capabilities for ingesting data to us, resolving identity to create a consistent and unique identity, and managing customer and product data.</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differentiators include:</w:t>
      </w:r>
    </w:p>
    <w:p>
      <w:pPr>
        <w:spacing w:after="0" w:line="113" w:lineRule="exact"/>
        <w:rPr>
          <w:sz w:val="20"/>
          <w:szCs w:val="20"/>
          <w:color w:val="auto"/>
        </w:rPr>
      </w:pPr>
    </w:p>
    <w:p>
      <w:pPr>
        <w:ind w:left="1540" w:right="200" w:hanging="514"/>
        <w:spacing w:after="0" w:line="26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Structured, event-based schema. </w:t>
      </w:r>
      <w:r>
        <w:rPr>
          <w:rFonts w:ascii="Times New Roman" w:cs="Times New Roman" w:eastAsia="Times New Roman" w:hAnsi="Times New Roman"/>
          <w:sz w:val="18"/>
          <w:szCs w:val="18"/>
          <w:color w:val="auto"/>
        </w:rPr>
        <w:t>We ingest and process event data. Each event represents an interaction that an end user or device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on our customers’ products. Event data has information about the event as well as the end user and device that has performed the event, and it follows a specific but flexible schema. As event data enters our platform, it gets ingested, sanitized, enriched, and canonicalized and is stored in an optimized format in our behavioral graph to enable low latency query/response.</w:t>
      </w:r>
    </w:p>
    <w:p>
      <w:pPr>
        <w:spacing w:after="0" w:line="68" w:lineRule="exact"/>
        <w:rPr>
          <w:rFonts w:ascii="Times New Roman" w:cs="Times New Roman" w:eastAsia="Times New Roman" w:hAnsi="Times New Roman"/>
          <w:sz w:val="18"/>
          <w:szCs w:val="18"/>
          <w:color w:val="auto"/>
        </w:rPr>
      </w:pPr>
    </w:p>
    <w:p>
      <w:pPr>
        <w:ind w:left="1540" w:right="120" w:hanging="514"/>
        <w:spacing w:after="0" w:line="268"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and scale of digital sources. </w:t>
      </w:r>
      <w:r>
        <w:rPr>
          <w:rFonts w:ascii="Times New Roman" w:cs="Times New Roman" w:eastAsia="Times New Roman" w:hAnsi="Times New Roman"/>
          <w:sz w:val="18"/>
          <w:szCs w:val="18"/>
          <w:color w:val="auto"/>
        </w:rPr>
        <w:t>We have a number of tools and offerings such as several client-side and server-side SDKs,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APIs, and integration with customer storage systems such as Amazon S3 and data warehouses that allows us to ingest from a number of sources, including mobile applications, websites, and backend services.</w:t>
      </w:r>
    </w:p>
    <w:p>
      <w:pPr>
        <w:spacing w:after="0" w:line="62" w:lineRule="exact"/>
        <w:rPr>
          <w:rFonts w:ascii="Times New Roman" w:cs="Times New Roman" w:eastAsia="Times New Roman" w:hAnsi="Times New Roman"/>
          <w:sz w:val="18"/>
          <w:szCs w:val="18"/>
          <w:color w:val="auto"/>
        </w:rPr>
      </w:pPr>
    </w:p>
    <w:p>
      <w:pPr>
        <w:ind w:left="1540" w:hanging="514"/>
        <w:spacing w:after="0" w:line="26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Identity resolution for a multi-platform world. </w:t>
      </w:r>
      <w:r>
        <w:rPr>
          <w:rFonts w:ascii="Times New Roman" w:cs="Times New Roman" w:eastAsia="Times New Roman" w:hAnsi="Times New Roman"/>
          <w:sz w:val="18"/>
          <w:szCs w:val="18"/>
          <w:color w:val="auto"/>
        </w:rPr>
        <w:t>In the multi-platform world, end users interact with our customers’ products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many devices; it is logged in at times and anonymous at other times. Our identity resolution service automatically captures one consistent view of the customer’s usage across platforms through continuous event streaming as users log in and out of customers’ products, browse anonymously, and use multiple devices.</w:t>
      </w:r>
    </w:p>
    <w:p>
      <w:pPr>
        <w:spacing w:after="0" w:line="68" w:lineRule="exact"/>
        <w:rPr>
          <w:rFonts w:ascii="Times New Roman" w:cs="Times New Roman" w:eastAsia="Times New Roman" w:hAnsi="Times New Roman"/>
          <w:sz w:val="18"/>
          <w:szCs w:val="18"/>
          <w:color w:val="auto"/>
        </w:rPr>
      </w:pPr>
    </w:p>
    <w:p>
      <w:pPr>
        <w:ind w:left="1540" w:right="140" w:hanging="514"/>
        <w:spacing w:after="0" w:line="259"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governance and observability. </w:t>
      </w:r>
      <w:r>
        <w:rPr>
          <w:rFonts w:ascii="Times New Roman" w:cs="Times New Roman" w:eastAsia="Times New Roman" w:hAnsi="Times New Roman"/>
          <w:sz w:val="18"/>
          <w:szCs w:val="18"/>
          <w:color w:val="auto"/>
        </w:rPr>
        <w:t>With the rapid expansion of customer and product data, organizations require tools to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complexity and maintain trust. Our governance toolkit provides a two-pronged approach that is proactive – through schema planning, validation and error reporting, and reactive – through retroactive data merges and schema changes. Our observability gives data leaders insights and visibility into how data is being used by their organization so they can make informed decisions about what to track.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Amplitude Behavioral Graph</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Event data is fed into the Amplitude Behavioral Graph, which is purpose-built to handle the scale, speed, and complexity of user behavior in digital products. It is the foundation of all of the analytics and personalization applications and is now an integral part of the Digital Analytics Platform.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differentiators include:</w:t>
      </w:r>
    </w:p>
    <w:p>
      <w:pPr>
        <w:spacing w:after="0" w:line="113" w:lineRule="exact"/>
        <w:rPr>
          <w:sz w:val="20"/>
          <w:szCs w:val="20"/>
          <w:color w:val="auto"/>
        </w:rPr>
      </w:pPr>
    </w:p>
    <w:p>
      <w:pPr>
        <w:ind w:left="1540" w:right="80" w:hanging="514"/>
        <w:spacing w:after="0" w:line="257"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Complex distributed joins. </w:t>
      </w:r>
      <w:r>
        <w:rPr>
          <w:rFonts w:ascii="Times New Roman" w:cs="Times New Roman" w:eastAsia="Times New Roman" w:hAnsi="Times New Roman"/>
          <w:sz w:val="18"/>
          <w:szCs w:val="18"/>
          <w:color w:val="auto"/>
        </w:rPr>
        <w:t>The most important user behavior questions involve looking at many different points in a user’s journey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answer, traditionally referred to as “joins” in SQL-based systems. At scale, this must be done in a distributed manner, and the more sophisticated the product the more complex the questions become. We built a database from the ground up using state-of-the-art columnar storage techniques and embedded it at every layer with knowledge of behavioral data and questions –for example pre-partitioning data by user and caching partial, reusable computations. We can express the varied semantics of product questions while running at the speed of native code, allowing us to answer customers’ questions in seconds.</w:t>
      </w:r>
    </w:p>
    <w:p>
      <w:pPr>
        <w:spacing w:after="0" w:line="74" w:lineRule="exact"/>
        <w:rPr>
          <w:rFonts w:ascii="Times New Roman" w:cs="Times New Roman" w:eastAsia="Times New Roman" w:hAnsi="Times New Roman"/>
          <w:sz w:val="18"/>
          <w:szCs w:val="18"/>
          <w:color w:val="auto"/>
        </w:rPr>
      </w:pPr>
    </w:p>
    <w:p>
      <w:pPr>
        <w:ind w:left="1540" w:right="40" w:hanging="514"/>
        <w:spacing w:after="0" w:line="268"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Real-time data observation. </w:t>
      </w:r>
      <w:r>
        <w:rPr>
          <w:rFonts w:ascii="Times New Roman" w:cs="Times New Roman" w:eastAsia="Times New Roman" w:hAnsi="Times New Roman"/>
          <w:sz w:val="18"/>
          <w:szCs w:val="18"/>
          <w:color w:val="auto"/>
        </w:rPr>
        <w:t>We built our database to match the speed at which digital products evolve. We use a lambda architecture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separate real-time and batch processing layers so that data is not only available for querying within seconds, but also optimized for long-term trend analysis.</w:t>
      </w:r>
    </w:p>
    <w:p>
      <w:pPr>
        <w:spacing w:after="0" w:line="62" w:lineRule="exact"/>
        <w:rPr>
          <w:rFonts w:ascii="Times New Roman" w:cs="Times New Roman" w:eastAsia="Times New Roman" w:hAnsi="Times New Roman"/>
          <w:sz w:val="18"/>
          <w:szCs w:val="18"/>
          <w:color w:val="auto"/>
        </w:rPr>
      </w:pPr>
    </w:p>
    <w:p>
      <w:pPr>
        <w:ind w:left="1540" w:right="20" w:hanging="514"/>
        <w:spacing w:after="0" w:line="268"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Multi-tenancy and scale. </w:t>
      </w:r>
      <w:r>
        <w:rPr>
          <w:rFonts w:ascii="Times New Roman" w:cs="Times New Roman" w:eastAsia="Times New Roman" w:hAnsi="Times New Roman"/>
          <w:sz w:val="18"/>
          <w:szCs w:val="18"/>
          <w:color w:val="auto"/>
        </w:rPr>
        <w:t>At any point in time, there are hundreds of queries running simultaneously on our database, each of varying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and complexity. We use a multi-tenant architecture to achieve economies of scale, and we have designed a differentiated throttling mechanism in order to isolate the effects of customers’ queries on each other.</w:t>
      </w:r>
    </w:p>
    <w:p>
      <w:pPr>
        <w:spacing w:after="0" w:line="62" w:lineRule="exact"/>
        <w:rPr>
          <w:rFonts w:ascii="Times New Roman" w:cs="Times New Roman" w:eastAsia="Times New Roman" w:hAnsi="Times New Roman"/>
          <w:sz w:val="18"/>
          <w:szCs w:val="18"/>
          <w:color w:val="auto"/>
        </w:rPr>
      </w:pPr>
    </w:p>
    <w:p>
      <w:pPr>
        <w:ind w:left="1540" w:right="20" w:hanging="514"/>
        <w:spacing w:after="0" w:line="262"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AutoML. </w:t>
      </w:r>
      <w:r>
        <w:rPr>
          <w:rFonts w:ascii="Times New Roman" w:cs="Times New Roman" w:eastAsia="Times New Roman" w:hAnsi="Times New Roman"/>
          <w:sz w:val="18"/>
          <w:szCs w:val="18"/>
          <w:color w:val="auto"/>
        </w:rPr>
        <w:t>Using our structured, event-based schema and database that is embedded with an understanding of behavioral data,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automated the most challenging part of ML pipelines and feature extraction. Our Behavioral Graph can generate a meaningful and robust set of thousands of features for each user in the system, which is used for a variety of applications. By having this automation with little to no customer input, we can offer truly self-service ML via AutoML.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Digital Analytics Platform is used globally by organizations of all sizes and across a vast range of industries. As of December 31, 2022 and 2021, we had 1,994 and 1,597 paying customers, respectively, representing year-over-year growth of 25%, and 28 and 26 of the Fortune 100, respectively. We believe that our Digital Analytics Platform can help organizations of all sizes, from the smallest startups to the largest global organizations, unleash the power of digital analytics to drive business outcomes and deliver value to customers. We continue to increase the number of customers who have entered and grown into larger subscriptions with us. As of December 31, 2022 and 2021, we had 480 and 385 customers, respectively, that each represented greater than $100,000 in ARR, representing a 25% increase year-over-year. Additionally, we had 30 and 29 customers, respectively, that each represented greater than $1 million in ARR, up 3% year-over-year. The number of customers representing greater than $100,000 and $1 million in ARR demonstrates the strategic importance of our platform and our ability to both initially land significant accounts and grow them over time.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right="360" w:firstLine="509"/>
        <w:spacing w:after="0" w:line="312" w:lineRule="auto"/>
        <w:rPr>
          <w:sz w:val="20"/>
          <w:szCs w:val="20"/>
          <w:color w:val="auto"/>
        </w:rPr>
      </w:pPr>
      <w:r>
        <w:rPr>
          <w:rFonts w:ascii="Times New Roman" w:cs="Times New Roman" w:eastAsia="Times New Roman" w:hAnsi="Times New Roman"/>
          <w:sz w:val="17"/>
          <w:szCs w:val="17"/>
          <w:color w:val="auto"/>
        </w:rPr>
        <w:t>Our sales and marketing efforts focus on landing customer accounts by addressing an initial digital analytics use case across one or more digital products and expanding those relationships over time as we deliver ongoing value and meet a greater portion of our customers’ digital analytics needs.</w:t>
      </w:r>
    </w:p>
    <w:p>
      <w:pPr>
        <w:spacing w:after="0" w:line="140"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We employ an efficient, multi-pronged go-to-market strategy combining direct sales (including field and inside sales), product-led growth initiatives (including subscription plans to meet the needs of a diverse range of companies), and marketing initiatives to supplement our sales efforts. Our field sales personnel focus on attracting new customers as well as expanding usage within our existing customer base. Our sales team is supported by business and sales development professionals and solution consultants who facilitate the sales process through identifying use cases based on customer needs, assessing requirements, addressing security and technical questions, consulting on customers’ data stacks, and finding additional expansion use cases.</w:t>
      </w:r>
    </w:p>
    <w:p>
      <w:pPr>
        <w:spacing w:after="0" w:line="1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our ethos to empower companies of all sizes to unleash digital analytics to drive their business, we offer a variety of free and paid plans depending on our customers’ needs. For startups, we offer a </w:t>
      </w:r>
      <w:r>
        <w:rPr>
          <w:rFonts w:ascii="Times New Roman" w:cs="Times New Roman" w:eastAsia="Times New Roman" w:hAnsi="Times New Roman"/>
          <w:sz w:val="18"/>
          <w:szCs w:val="18"/>
          <w:i w:val="1"/>
          <w:iCs w:val="1"/>
          <w:color w:val="auto"/>
        </w:rPr>
        <w:t>Scholarship</w:t>
      </w:r>
      <w:r>
        <w:rPr>
          <w:rFonts w:ascii="Times New Roman" w:cs="Times New Roman" w:eastAsia="Times New Roman" w:hAnsi="Times New Roman"/>
          <w:sz w:val="18"/>
          <w:szCs w:val="18"/>
          <w:color w:val="auto"/>
        </w:rPr>
        <w:t xml:space="preserve"> plan, which consists of a self-serve, free one-year subscription to our </w:t>
      </w:r>
      <w:r>
        <w:rPr>
          <w:rFonts w:ascii="Times New Roman" w:cs="Times New Roman" w:eastAsia="Times New Roman" w:hAnsi="Times New Roman"/>
          <w:sz w:val="18"/>
          <w:szCs w:val="18"/>
          <w:i w:val="1"/>
          <w:iCs w:val="1"/>
          <w:color w:val="auto"/>
        </w:rPr>
        <w:t xml:space="preserve">Growth </w:t>
      </w:r>
      <w:r>
        <w:rPr>
          <w:rFonts w:ascii="Times New Roman" w:cs="Times New Roman" w:eastAsia="Times New Roman" w:hAnsi="Times New Roman"/>
          <w:sz w:val="18"/>
          <w:szCs w:val="18"/>
          <w:color w:val="auto"/>
        </w:rPr>
        <w:t>plan, to help them turbo-charge their digital analytics efforts. For larger commercial companies and organizations, we offer both free and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plans. Our free, self-serve </w:t>
      </w:r>
      <w:r>
        <w:rPr>
          <w:rFonts w:ascii="Times New Roman" w:cs="Times New Roman" w:eastAsia="Times New Roman" w:hAnsi="Times New Roman"/>
          <w:sz w:val="18"/>
          <w:szCs w:val="18"/>
          <w:i w:val="1"/>
          <w:iCs w:val="1"/>
          <w:color w:val="auto"/>
        </w:rPr>
        <w:t>Starter</w:t>
      </w:r>
      <w:r>
        <w:rPr>
          <w:rFonts w:ascii="Times New Roman" w:cs="Times New Roman" w:eastAsia="Times New Roman" w:hAnsi="Times New Roman"/>
          <w:sz w:val="18"/>
          <w:szCs w:val="18"/>
          <w:color w:val="auto"/>
        </w:rPr>
        <w:t xml:space="preserve"> plan allows access to a limited set of core offerings, including our leading Analytics offering, and serves as effective brand marketing and a low friction model for getting a single team started with Amplitude, which can also create a glide path to conversion into one of our paid plans. Our paid </w:t>
      </w:r>
      <w:r>
        <w:rPr>
          <w:rFonts w:ascii="Times New Roman" w:cs="Times New Roman" w:eastAsia="Times New Roman" w:hAnsi="Times New Roman"/>
          <w:sz w:val="18"/>
          <w:szCs w:val="18"/>
          <w:i w:val="1"/>
          <w:iCs w:val="1"/>
          <w:color w:val="auto"/>
        </w:rPr>
        <w:t>Growth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Enterprise</w:t>
      </w:r>
      <w:r>
        <w:rPr>
          <w:rFonts w:ascii="Times New Roman" w:cs="Times New Roman" w:eastAsia="Times New Roman" w:hAnsi="Times New Roman"/>
          <w:sz w:val="18"/>
          <w:szCs w:val="18"/>
          <w:color w:val="auto"/>
        </w:rPr>
        <w:t xml:space="preserve"> plans provide access to additional capabilities, functionality, and volume to meet the needs of larger and more complex use cases.</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professional services team helps customers design and execute their digital analytics, product-led growth, analytics, and personalization projects. We offer our customers implementation, training, and related services to help them realize the full benefits of our Digital Analytics Platform. We also work closely with our partner ecosystem to help them deploy our solutions and build our technology into their services offerings, providing opportunities for us to increase the breadth and depth of our deployment within new and existing customers.</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have approximately 50 partners in the Amplitude partner ecosystem program, which provides solutions to help accelerate our customers’ digital analytics initiatives. Our ecosystem consists of the following:</w:t>
      </w:r>
    </w:p>
    <w:p>
      <w:pPr>
        <w:spacing w:after="0" w:line="50" w:lineRule="exact"/>
        <w:rPr>
          <w:sz w:val="20"/>
          <w:szCs w:val="20"/>
          <w:color w:val="auto"/>
        </w:rPr>
      </w:pPr>
    </w:p>
    <w:p>
      <w:pPr>
        <w:ind w:left="1020" w:right="300" w:hanging="503"/>
        <w:spacing w:after="0" w:line="28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Solutions partners, </w:t>
      </w:r>
      <w:r>
        <w:rPr>
          <w:rFonts w:ascii="Times New Roman" w:cs="Times New Roman" w:eastAsia="Times New Roman" w:hAnsi="Times New Roman"/>
          <w:sz w:val="18"/>
          <w:szCs w:val="18"/>
          <w:color w:val="auto"/>
        </w:rPr>
        <w:t>including global systems integrators, consultancies, and digital agencies, partner with Amplitude to provide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transformation strategy, best practices, and support.</w:t>
      </w:r>
    </w:p>
    <w:p>
      <w:pPr>
        <w:spacing w:after="0" w:line="46" w:lineRule="exact"/>
        <w:rPr>
          <w:rFonts w:ascii="Times New Roman" w:cs="Times New Roman" w:eastAsia="Times New Roman" w:hAnsi="Times New Roman"/>
          <w:sz w:val="18"/>
          <w:szCs w:val="18"/>
          <w:color w:val="auto"/>
        </w:rPr>
      </w:pPr>
    </w:p>
    <w:p>
      <w:pPr>
        <w:ind w:left="1020" w:right="40" w:hanging="503"/>
        <w:spacing w:after="0" w:line="26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Technology partners, </w:t>
      </w:r>
      <w:r>
        <w:rPr>
          <w:rFonts w:ascii="Times New Roman" w:cs="Times New Roman" w:eastAsia="Times New Roman" w:hAnsi="Times New Roman"/>
          <w:sz w:val="18"/>
          <w:szCs w:val="18"/>
          <w:color w:val="auto"/>
        </w:rPr>
        <w:t>who integrate their software with the Digital Analytics Platform to build and deliver end-to-end enterprise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Amplitude has dozens of technology integrations and partners across more than a dozen software categories, including marketing automation, attribution tools, data warehouses, and customer data platforms, to name a few.</w:t>
      </w:r>
    </w:p>
    <w:p>
      <w:pPr>
        <w:spacing w:after="0" w:line="1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marketing efforts focus on driving our go-to-market demand generation engine across all market segments and across both new and existing customers, as well as raising our brand profile globally. To do this, we utilize a combination of online and offline marketing programs such as online advertising, blogs, public relations, social media, educational white papers and webinars, product demos, workshops, roundtables, and customer case studies. These gatherings focus on attracting a broad mix of prospects and customers to focus on digital analytics and Amplitude product education, and the sharing of customer success stories and best practices.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had 431 employees in our sales and marketing organization.</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believe that our company culture enables us to achieve our mission, is a core driver of our business success, and is a significant reason why people choose to build their careers at Amplitude. We are pioneers in this field who endeavor to make product, business, and people decisions that allow us to carry out our mission while staying true to our values. We believe Diversity, Equity, and Inclusion (“DEI”) are rooted in the fabric of our culture. We advance our culture of belonging–in which Humility, Ownership, and Growth Mindset are at the center–by coming together to make a collective impact in our work and our communities. Through strategic initiatives and partnerships, policy development and stewardship, innovation and education, our DEI-embedded culture shapes our future to one where all employees can fully realize their potential.</w:t>
      </w:r>
    </w:p>
    <w:p>
      <w:pPr>
        <w:spacing w:after="0" w:line="7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Humility. </w:t>
      </w:r>
      <w:r>
        <w:rPr>
          <w:rFonts w:ascii="Times New Roman" w:cs="Times New Roman" w:eastAsia="Times New Roman" w:hAnsi="Times New Roman"/>
          <w:sz w:val="18"/>
          <w:szCs w:val="18"/>
          <w:color w:val="auto"/>
        </w:rPr>
        <w:t>No ego – we operate from a place of empathy and openness and seek to understand many points of 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w:t>
      </w:r>
      <w:r>
        <w:rPr>
          <w:rFonts w:ascii="Times New Roman" w:cs="Times New Roman" w:eastAsia="Times New Roman" w:hAnsi="Times New Roman"/>
          <w:sz w:val="18"/>
          <w:szCs w:val="18"/>
          <w:color w:val="auto"/>
        </w:rPr>
        <w:t>We take the initiative to solve problems that drive our shared company success.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Growth Mindset. </w:t>
      </w:r>
      <w:r>
        <w:rPr>
          <w:rFonts w:ascii="Times New Roman" w:cs="Times New Roman" w:eastAsia="Times New Roman" w:hAnsi="Times New Roman"/>
          <w:sz w:val="18"/>
          <w:szCs w:val="18"/>
          <w:color w:val="auto"/>
        </w:rPr>
        <w:t>We’re tenacious in the face of challenges and seek input in order to grow ourselves and others.</w:t>
      </w:r>
    </w:p>
    <w:p>
      <w:pPr>
        <w:spacing w:after="0" w:line="22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We use our values as the cornerstone for setting the tone for how we show up with one another and our customers. We are intentional about embedding them as the lens through which we operate. We are deliberate in operationalizing our values through our selection of talent, recognizing, rewarding, and how we celebrate. We regularly recognize and celebrate those who are exemplary models of our values through our Quarterly Values Awards. We believe that it is this focus on our values that is what sets us apart in building a culture of empathy and accountability.</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2021, we were recognized by San Francisco Business Times and Built In as “Best Places to Work in the Bay Area” and “Best Midsize Places to Work in the Bay Area,” respectively. Additionally, Business Insider has included us in their “Startups to bet your career on” list.</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In 2020, together with four of our ecosystem partners, we announced the launch of a joint-initiative called Tech for Black Founders. Our mission is to create an ecosystem that provides resources and technology to empower Black-founded businesses and level the playing field for underserved founders. Our shared goal is to help Black-founded businesses accelerate growth and scale as rapidly and efficiently as possible.</w:t>
      </w:r>
    </w:p>
    <w:p>
      <w:pPr>
        <w:spacing w:after="0" w:line="176"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We operate from a place of openness, taking initiative to drive our shared company success, while seeking input in order to grow ourselves and our customers. Our values fuel our growth, guiding us as we learn, succeed, and celebrate together.</w:t>
      </w:r>
    </w:p>
    <w:p>
      <w:pPr>
        <w:spacing w:after="0" w:line="16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we had a total of 737 employees, including 156 employees located outside the United States. None of our employees is represented by a labor union or covered by collective bargaining agreements. We have not experienced any work stoppages. We consider our relationship with our employees to be good.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research and development efforts are focused on continued innovation, enhancing our platform features and functionalities, and expanding the services we offer to increase market penetration and deepen our relationships with our customers. We believe the timely development of new, and the enhancement of our existing platform features and services is essential to maintaining our competitive position. We continually incorporate feedback and new cases from our customers into our platform. As of December 31, 2022, we had 185 employees in our research and development organization. We intend to continue to invest in our research and development capabilities to extend our platform. Research and development expenses totaled $80.6 million and $48.3 million in years ended December 31, 2022 and 2021,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market for digital analytics is new and evolving. Businesses have used a range of point solutions built for other use cases in an effort to address their needs, none of which offer the breadth and depth of capabilities offered by our Digital Analytics Platform. However, we do compete with a number of companies, ranging from large and diversified businesses to smaller start-ups, that offer certain solutions and functionality similar to aspects of our platform. These competitors include the following:</w:t>
      </w:r>
    </w:p>
    <w:p>
      <w:pPr>
        <w:spacing w:after="0" w:line="72"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analytics point tools such as Pendo, Mixpanel, and Heap;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 and marketing analytics vendors such as Adobe Experience Cloud and Google Analytics;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intelligence solutions such as Looker and Tableau.</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principal competitive factors for companies in our industry are:</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Powerful and flexible infrastructure that can ingest and manage a broad variety and large volume of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functionality, including speed, scale, and breadth and depth of insights;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end-user base and level of customer adoption;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Enterprise-grade technology that is secure and reliable;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Self-service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enable collaboration across numerous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integration and deployment with existing IT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Mindshare with line of business and non-technical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address a variety of evolving customer needs and use cases;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total cost of ownership;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professional services and customer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and marketing efforts;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Adherence to industry standards and certifications.</w:t>
      </w:r>
    </w:p>
    <w:p>
      <w:pPr>
        <w:spacing w:after="0" w:line="22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the basis of the factors above, we believe that we compare favorably to our competitors. However, some of our actual and potential competitors have advantages over us, such as substantially greater financial, technical, and other resources, such as larger sales forces and marketing budgets, greater brand recognition, broader distribution networks and global presence, longer operating histories, more established relationships with current or potential customers and commercial partners, and more mature intellectual property portfolios. They may be able to leverage these resources to gain market share and prevent potential customers from purchasing our products. Additionally, we expect the industry to attract new entrants, who could compete with our business and introduce new offerings. As we scale and expand our business, we may enter new markets and encounter additional competition.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intellectual property is an important part of our business. We rely on patent, copyright, trade secret, and trademark laws, as well as confidentiality agreements, license agreements, intellectual property assignment agreements, and similar contracts, to establish and protect our proprietary rights. We maintain a policy requiring our employees, contractors, consultants, and other third parties to enter into confidentiality and proprietary rights agreements to control access to our proprietary information. However, these laws, agreements, and policies provide only limited protection, and our intellectual property rights and other proprietary rights may still be challenged, invalidated, infringed, or misappropriated in the United States and in foreign jurisdictions. The laws of certain jurisdictions do not protect proprietary rights to the same extent as the laws of the United States, and it may therefore be difficult, impossible, or otherwise not commercially reasonable to protect our proprietary rights in certain jurisdictions. In addition, we use software components licensed from third parties under open-source software licenses, which licenses generally do not contain warranties or indemnifications from the licensors with respect to infringement, security vulnerabilities, or other issues. As a result, we would not have contractual protections if our use of the open-source software licensed from third parties infringes third-party intellectual property rights or if we encounter other issues with respect to our use of third-party open-source software. We also publicly license our SDK and certain other components to third parties pursuant to open-source licenses. The value of the software we publicly license to third parties pursuant to open-source licenses may be diminished given that such licenses grant those third parties broad rights to modify and distribute such software and could allow a competitor to more easily develop a competing product by examining our software.</w:t>
      </w:r>
    </w:p>
    <w:p>
      <w:pPr>
        <w:spacing w:after="0" w:line="19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pursue the registration of our domain names, trademarks, and service marks and pursue patent protection of our technology in the United States and in certain locations outside the United States. As of December 31, 2022, we had one issued U.S. patent, six U.S. and seven foreign patent applications pending. We continually review our development efforts to assess the existence and patentability of new intellectual property, and the extension of our intellectual property rights abroad. As of December 31, 2022, we had five registered trademarks in the United States and 11 registered trademarks internationally.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Data Privacy &amp; Security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and regulations, including consumer protection laws and regulations, including data breach notification laws, govern the collection, dissemination, processing, use, access to, confidentiality, and security of personal information and could apply to our operations or the operations of our partners. In particular, certain state and non-U.S. laws, such as the California Consumer Privacy Act of 2018 (the “CCPA”), the European Union General Data Protection Regulation (the “CPRA”), and the GDPR, set strict standards for maintaining the privacy and security of personal information. Many of these laws differ from each other in significant ways and may not have the same effect, thus complicating compliance efforts. Failure to comply with these laws, where applicable, can result in the imposition of significant civil and/or criminal penalties and private litigation. In sum, privacy and security laws, regulations, and other obligations are constantly evolving, may conflict with each other, and can result in investigations, proceedings, or actions that lead to significant civil and/or criminal penalties and restrictions on data processing.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in November 2011 as Sonalight, Inc. and founded our Amplitude business in 2012. In December 2014, we changed our name to Amplitude, Inc. Our principal executive offices are located at 201 Third Street, Suite 200, San Francisco, California 94103. Our telephone number is (415) 231-2353 and our website address is www.amplitude.com. Information contained on, or that can be accessed through, our website is not incorporated by reference into this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amendments to these reports filed pursuant to Sections 13(a) and 15(d) of the Exchange Act are filed with the SEC. Such reports and other information filed or furnished by us with the SEC are available free of charge on our investor relations website at investors.amplitude.com, as soon as reasonably practicable after we file such material with, or furnish it to, the SEC, when such reports are available on the SEC’s website at www.sec.gov.</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our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5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revenue was $238.1 million and $167.3 million for the fiscal years ended December 31, 2022 and 2021, respectively. However, you should not rely on our historical revenue growth as an indication of our future performance.</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6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continue to take advantage of growth opportunities. We have also encountered, and will continue to encounter, risks and uncertainties frequently experienced by growing companies in rapidly changing industries, such as the risks and uncertainties described in this Annual Report on Form 10-K.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As our costs increase, we may not be able to generate sufficient revenue to achieve and sustain profitability.</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experienced net losses in each period since inception. We generated net losses of $93.4 million and $75.0 million for the fiscal years ended December 31, 2022 and 2021, respectively. As of December 31, 2022, we had an accumulated deficit of $273.2 million. We expect our costs and expenses to increase in future periods. In particular, we intend to continue to invest significant resources in:</w:t>
      </w:r>
    </w:p>
    <w:p>
      <w:pPr>
        <w:spacing w:after="0" w:line="68" w:lineRule="exact"/>
        <w:rPr>
          <w:sz w:val="20"/>
          <w:szCs w:val="20"/>
          <w:color w:val="auto"/>
        </w:rPr>
      </w:pPr>
    </w:p>
    <w:p>
      <w:pPr>
        <w:ind w:left="1020" w:right="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Digital Analytics Platform, including investments in our research and development team, the development or acquisition of new products, features, and functionality, and improvements to the scalability, availability, and security of our platform;</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international expansion, in an effort to increase our customer base and sales;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accounting, and other expenses.</w:t>
      </w:r>
    </w:p>
    <w:p>
      <w:pPr>
        <w:spacing w:after="0" w:line="22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8" w:name="page19"/>
    <w:bookmarkEnd w:id="18"/>
    <w:p>
      <w:pPr>
        <w:ind w:firstLine="509"/>
        <w:spacing w:after="0" w:line="266" w:lineRule="auto"/>
        <w:rPr>
          <w:sz w:val="20"/>
          <w:szCs w:val="20"/>
          <w:color w:val="auto"/>
        </w:rPr>
      </w:pPr>
      <w:r>
        <w:rPr>
          <w:rFonts w:ascii="Times New Roman" w:cs="Times New Roman" w:eastAsia="Times New Roman" w:hAnsi="Times New Roman"/>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68" w:lineRule="exact"/>
        <w:rPr>
          <w:sz w:val="20"/>
          <w:szCs w:val="20"/>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Digital Analytics Platform, including as a result of our introduction of new products, features, and functionality;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Digital Analytics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new products, features, and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customers’ purchases;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with which customers are able to migrate data onto our platform after purchasing capacity;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on a global basis;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features, or functionality developed or acquired by us or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our cloud computing infrastructure, particularly the cloud services provided by Amazon Web Services (“AWS”);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19" w:name="page20"/>
    <w:bookmarkEnd w:id="19"/>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and complete, and the effects of, mergers, acquisitions, or strategic partnerships, and the ensuing integration efforts;</w:t>
      </w:r>
    </w:p>
    <w:p>
      <w:pPr>
        <w:spacing w:after="0" w:line="117" w:lineRule="exact"/>
        <w:rPr>
          <w:rFonts w:ascii="Times New Roman" w:cs="Times New Roman" w:eastAsia="Times New Roman" w:hAnsi="Times New Roman"/>
          <w:sz w:val="18"/>
          <w:szCs w:val="18"/>
          <w:color w:val="auto"/>
        </w:rPr>
      </w:pPr>
    </w:p>
    <w:p>
      <w:pPr>
        <w:jc w:val="both"/>
        <w:ind w:left="1020" w:right="4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the current inflationary economic environment, rising interest rates, and a potential recession), both domestically and internationally, as well as economic conditions specifically affecting industries in which our customers participate, and related difficulties in collections;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impact of climate change, natural disasters, health epidemics, including the COVID-19 pandemic, political and social instability, including acts of war or other armed conflicts, such as Russia's invasion of Ukraine, and terrorist activities, on our business, operations, and the markets and communities in which we and our customers and partners operate and the disruption these events may cause to the global economy;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w:t>
      </w:r>
    </w:p>
    <w:p>
      <w:pPr>
        <w:spacing w:after="0" w:line="6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platform.</w:t>
      </w:r>
    </w:p>
    <w:p>
      <w:pPr>
        <w:spacing w:after="0" w:line="22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results of operations fall below the expectations of investors and securities analysts who follow our stock, the trading price of our Class A common stock could decline substantially, and we could face costly lawsuits, including securities class action litigation.</w:t>
      </w:r>
    </w:p>
    <w:p>
      <w:pPr>
        <w:spacing w:after="0" w:line="28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focus on sales to larger organizations and may become more dependent on those relationships, which may increase the variability of our sales cycle and our results of operations.</w:t>
      </w:r>
    </w:p>
    <w:p>
      <w:pPr>
        <w:spacing w:after="0" w:line="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educate prospective customers about the uses and benefits of our Digital Analytics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evaluation and purchasing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functionality demands;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planned introductions of new products, features, or functionality by us or our competitors;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purchasing approval processes.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0" w:name="page21"/>
    <w:bookmarkEnd w:id="20"/>
    <w:p>
      <w:pPr>
        <w:ind w:right="560"/>
        <w:spacing w:after="0" w:line="282" w:lineRule="auto"/>
        <w:rPr>
          <w:sz w:val="20"/>
          <w:szCs w:val="20"/>
          <w:color w:val="auto"/>
        </w:rPr>
      </w:pPr>
      <w:r>
        <w:rPr>
          <w:rFonts w:ascii="Times New Roman" w:cs="Times New Roman" w:eastAsia="Times New Roman" w:hAnsi="Times New Roman"/>
          <w:sz w:val="18"/>
          <w:szCs w:val="18"/>
          <w:color w:val="auto"/>
        </w:rPr>
        <w:t>delayed until a subsequent period, our results of operations for that period, and for any future periods in which revenue from such transaction would otherwise have been recognized, may be adversely affected.</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spacing w:after="0" w:line="29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diminished liquidity and credit availability, increased unemployment rates, decreased investor and consumer confidence, political turmoil, supply chain challenges, natural catastrophes and the effects of climate change, regional and global conflicts, and terrorist attacks on the United States, Europe, the Asia Pacific region, or elsewhere, our customers and prospective customers may go out of business or elect to decrease their budgets, which would limit our ability to grow our business and materially adversely affect our financial condition and results of operations. For example, historically high levels of inflation and rising interest rates in the United States have begun to affect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SaaS applications develops more slowly than we expect or declines, our business would be adversely affected.</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1" w:name="page22"/>
    <w:bookmarkEnd w:id="21"/>
    <w:p>
      <w:pPr>
        <w:spacing w:after="0" w:line="261" w:lineRule="auto"/>
        <w:rPr>
          <w:sz w:val="20"/>
          <w:szCs w:val="20"/>
          <w:color w:val="auto"/>
        </w:rPr>
      </w:pPr>
      <w:r>
        <w:rPr>
          <w:rFonts w:ascii="Times New Roman" w:cs="Times New Roman" w:eastAsia="Times New Roman" w:hAnsi="Times New Roman"/>
          <w:sz w:val="18"/>
          <w:szCs w:val="18"/>
          <w:color w:val="auto"/>
        </w:rPr>
        <w:t>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5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68" w:lineRule="exact"/>
        <w:rPr>
          <w:sz w:val="20"/>
          <w:szCs w:val="20"/>
          <w:color w:val="auto"/>
        </w:rPr>
      </w:pPr>
    </w:p>
    <w:p>
      <w:pPr>
        <w:ind w:left="1020" w:right="16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software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integrated systems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companies offering alternative SaaS applications;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emerging entrants seeking to develop competing technologies.</w:t>
      </w:r>
    </w:p>
    <w:p>
      <w:pPr>
        <w:spacing w:after="0" w:line="22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losses, or the failure of our Digital Analytics Platform to achieve or maintain more widespread market acceptance, any of which could harm our business.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this Annual Report on Form 10-K.</w:t>
      </w:r>
    </w:p>
    <w:p>
      <w:pPr>
        <w:spacing w:after="0" w:line="2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ind w:right="300"/>
        <w:spacing w:after="0" w:line="282" w:lineRule="auto"/>
        <w:rPr>
          <w:sz w:val="20"/>
          <w:szCs w:val="20"/>
          <w:color w:val="auto"/>
        </w:rPr>
      </w:pPr>
      <w:r>
        <w:rPr>
          <w:rFonts w:ascii="Times New Roman" w:cs="Times New Roman" w:eastAsia="Times New Roman" w:hAnsi="Times New Roman"/>
          <w:sz w:val="18"/>
          <w:szCs w:val="18"/>
          <w:color w:val="auto"/>
        </w:rPr>
        <w:t>our customers. To the extent we expand into the public sector and other highly regulated industries, our Digital Analytics Platform may need to address additional requirements specific to those industries.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experienced and expect to continue to experience rapid growth in our business, personnel, and operations, which has placed, and may continue to place, significant demands on our management and operational and financial resources.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29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or similar outbreaks could have an adverse impact on our business and operations, and the markets and communities in which we, our partners, and customers operate, and the impact of the pandemic is difficult to assess or predict.</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continued impact and ultimate duration of the COVID-19 pandemic on the global economy and our business are difficult to assess or predict.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and potential impacts include:</w:t>
      </w:r>
    </w:p>
    <w:p>
      <w:pPr>
        <w:spacing w:after="0" w:line="99" w:lineRule="exact"/>
        <w:rPr>
          <w:sz w:val="20"/>
          <w:szCs w:val="20"/>
          <w:color w:val="auto"/>
        </w:rPr>
      </w:pPr>
    </w:p>
    <w:p>
      <w:pPr>
        <w:ind w:left="1020" w:right="2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prospective customers may experience slowdowns in their businesses which, in turn, may result in reduced demand for our Digital Analytics Platform, lengthening of sales cycles, loss of customers, and difficulties in collections.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are working from home significantly more frequently than they did historically prior to the COVID-19 pandemic, which may result in decreased employee productivity and morale with increased unwanted employee attrition.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incur fixed costs, particularly for real estate, and are deriving reduced or no benefit from those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continue to experience disruptions to our growth planning, such as for facilities and international expansion.</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may continue to incur, costs associated with returning to work at our offices around the world, including changes to the workplace, such as space planning, food service, and amenities.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liability for unsafe workplace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critical vendors could go out of business.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in-person marketing events, including customer user conferences, have been cancelled, and we may continue to experience prolonged delays in our ability to reschedule or conduct in-person marketing events and other sales and marketing activities.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continue to conduct or from time to time return to conducting our business on a fully virtual basis, as opposed to the mix of virtual and in-person interactions with customers and partners that our marketing, sales, professional services, and support organizations were accustomed to prior to the COVID-19 pandemic.</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3" w:name="page24"/>
    <w:bookmarkEnd w:id="23"/>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Overall, the COVID-19 pandemic largely resulted in favorable trends for our business, as customers were able to leverage the digital analytics of their products as sales increasingly shifted online. It can be difficult to predict customer demand, especially as customers’ priorities, resources, and economic outlooks change, along with other shifting market conditions. These shifts have occurred, and may in the future occur, more quickly than we anticipate. For example, as stay-at-home orders, travel restrictions, and other quarantine and isolation measures are lifted, the amount of time that consumers spend interacting with digital products may normalize or decline, which could slow customer demand for our Digital Analytics Platform. If we are unable to respond quickly to rapidly changing market conditions and shifts in customer behavior, our business and results of operations could be harmed, and the trading price of our Class A common stock could be adversely affected.</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Although global economic conditions generally improved with the rollout of vaccines, business activity may not recover as quickly as anticipated, including as a result of inflationary pressures and the responses by central banking authorities to control such inflation, rising interest rates, debt and equity market fluctuations, diminished liquidity and credit availability, increased unemployment rates, decreased investor and consumer confidence, political turmoil, and supply chain challenges. Conditions may vary between countries and regions and will be subject to the effectiveness and duration of government policies, vaccine administration rates, and other factors that may not be foreseeable. Vaccines for COVID-19 continue to be administered in the United States and other countries around the world, but the extent and rate of vaccine adoption, the long-term efficacy of these vaccines, and other factors remain uncertain. We currently require employees in North America to be fully vaccinated to utilize our office space or attend in-person company events and have implemented other health and safety protocols, which have created, and may continue to create, additional risks and operational challenges and may require us to make additional investments in the design, implementation, and enforcement of new workplace health and safety protocols. Even if we follow what we believe to be best practices, re-opening our offices could expose our employees, partners, and customers to health risks, and us to associated liability. Furthermore, governmental restrictions, new regulations, or other changing conditions could cause us to temporarily close certain of our offices. We have offered, and plan to continue to offer, a significant percentage of our employees flexibility to shift to a hybrid work arrangement, which may adversely impact the productivity of certain employees and harm our business, including our future results of operations. This may also present risks for our strategy and may present operational, cybersecurity, and workplace culture challenges that may materially adversely affect our business. It is not possible to predict with any certainty the impact that our current policies and protocols could have on our company, our workforce, and our operations. In addition, we cannot predict what policies we may determine to, or be required to, implement in the future, or the effect thereof on our business, including whether the imposition of certain policies could cause us to lose, or experience difficulties hiring, qualified personnel.</w:t>
      </w:r>
    </w:p>
    <w:p>
      <w:pPr>
        <w:spacing w:after="0" w:line="193"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Finally, the effects of the COVID-19 pandemic, or the easing of COVID-19-related restrictions, may also heighten other risks, including significant volatility in global markets and the trading price of our Class A common stock. The extent of the impact that COVID-19 could have on worldwide economic activity generally, and our business in particular, depends on future developments that cannot be accurately predicted at this time, such as the duration and spread of the COVID-19 pandemic, future waves of COVID-19 infections (including the spread of variants or mutant strains of the virus) resulting in additional preventive measures to contain or mitigate the spread of the virus, the extent and effectiveness of containment actions, the administration, adoption, and efficacy of vaccination programs, and the impact of these and other factors on our employees, customers, partners, and vendors. If we are not able to respond to and manage the impact of such events effectively, our business will be harmed. Moreover, to the extent the COVID-19 pandemic materially adversely affects our business, financial condition, and results of operations, it may also have the effect of heightening many of the other risks described in this “Risk Factors” section, including, but not limited to, those related to our ability to expand within our existing customer base, acquire new customers, develop and expand our sales and marketing capabilities, and expand internationally.</w:t>
      </w:r>
    </w:p>
    <w:p>
      <w:pPr>
        <w:spacing w:after="0" w:line="29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platform stores, transmits, and processes our customers’ proprietary data, including personal or identifying information of their customers or employees. Unauthorized disclosure of, access to, or security breaches of our platform could result in the loss of data,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customer data, our data,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ind w:firstLine="509"/>
        <w:spacing w:after="0" w:line="253" w:lineRule="auto"/>
        <w:rPr>
          <w:sz w:val="20"/>
          <w:szCs w:val="20"/>
          <w:color w:val="auto"/>
        </w:rPr>
      </w:pPr>
      <w:r>
        <w:rPr>
          <w:rFonts w:ascii="Times New Roman" w:cs="Times New Roman" w:eastAsia="Times New Roman" w:hAnsi="Times New Roman"/>
          <w:sz w:val="18"/>
          <w:szCs w:val="18"/>
          <w:color w:val="auto"/>
        </w:rPr>
        <w:t>Cyberattacks, denial-of-service attacks, ransomware attacks, business email compromises, computer malware, malicious code, viruses, and social engineering (including phishing) are prevalent in our industry and our customers’ industries. In addition, we may experience attacks, unavailable systems, unauthorized access to systems or data, or disclosure due to employee theft or misuse, denial-of-service attacks, sophisticated nation-state and nation-state-supported actors, and advanced persistent threat intrusions. Electronic security attacks designed to gain access to personal, sensitive, or confidential data are constantly evolving, and such attacks continue to grow in sophistication. The techniques used to sabotage, or to obtain unauthorized access to, our platform, information technology systems, networks, or physical facilities in which data is stored or through which data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or our customers’ data or to disrupt our operations or ability to provide our services.</w:t>
      </w:r>
    </w:p>
    <w:p>
      <w:pPr>
        <w:spacing w:after="0" w:line="1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19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data of one or more customers,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proprietary and sensitive data.</w:t>
      </w:r>
    </w:p>
    <w:p>
      <w:pPr>
        <w:spacing w:after="0" w:line="30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right="20"/>
        <w:spacing w:after="0" w:line="271" w:lineRule="auto"/>
        <w:rPr>
          <w:sz w:val="20"/>
          <w:szCs w:val="20"/>
          <w:color w:val="auto"/>
        </w:rPr>
      </w:pPr>
      <w:r>
        <w:rPr>
          <w:rFonts w:ascii="Times New Roman" w:cs="Times New Roman" w:eastAsia="Times New Roman" w:hAnsi="Times New Roman"/>
          <w:sz w:val="17"/>
          <w:szCs w:val="17"/>
          <w:color w:val="auto"/>
        </w:rPr>
        <w:t>experienced, and may in the future experience, disruptions, outages, defects, and other performance and quality problems with our platform. We have also experienced, and may in the future experience, disruptions, outages, defects, and other performance and quality problems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denial-of-service attacks or other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p>
    <w:p>
      <w:pPr>
        <w:spacing w:after="0" w:line="173" w:lineRule="exact"/>
        <w:rPr>
          <w:sz w:val="20"/>
          <w:szCs w:val="20"/>
          <w:color w:val="auto"/>
        </w:rPr>
      </w:pPr>
    </w:p>
    <w:p>
      <w:pPr>
        <w:ind w:right="100" w:firstLine="554"/>
        <w:spacing w:after="0" w:line="256" w:lineRule="auto"/>
        <w:rPr>
          <w:sz w:val="20"/>
          <w:szCs w:val="20"/>
          <w:color w:val="auto"/>
        </w:rPr>
      </w:pPr>
      <w:r>
        <w:rPr>
          <w:rFonts w:ascii="Times New Roman" w:cs="Times New Roman" w:eastAsia="Times New Roman" w:hAnsi="Times New Roman"/>
          <w:sz w:val="18"/>
          <w:szCs w:val="18"/>
          <w:color w:val="auto"/>
        </w:rPr>
        <w:t>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platform could materially adversely affect our business and growth prospects.</w:t>
      </w:r>
    </w:p>
    <w:p>
      <w:pPr>
        <w:spacing w:after="0" w:line="121"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anticipate that certain of these errors, failures, vulnerabilities, and bugs will only be discovered and remediated after deployment to customers. Software errors, failures, vulnerabilities, and bugs in our platform could materially adversely affect our business and growth prospects.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Digital Analytics Platform could result in customer dissatisfaction and materially adversely affect our business, financial condition, and results of operations.</w:t>
      </w:r>
    </w:p>
    <w:p>
      <w:pPr>
        <w:spacing w:after="0" w:line="5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often assist our customers in implementing our Digital Analytics Platform (whether through us directly or through a third-party implementation partner), and they may need training in the proper use of our Digital Analytics Platform to maximize its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6" w:name="page27"/>
    <w:bookmarkEnd w:id="26"/>
    <w:p>
      <w:pPr>
        <w:ind w:right="180"/>
        <w:spacing w:after="0" w:line="258" w:lineRule="auto"/>
        <w:rPr>
          <w:sz w:val="20"/>
          <w:szCs w:val="20"/>
          <w:color w:val="auto"/>
        </w:rPr>
      </w:pPr>
      <w:r>
        <w:rPr>
          <w:rFonts w:ascii="Times New Roman" w:cs="Times New Roman" w:eastAsia="Times New Roman" w:hAnsi="Times New Roman"/>
          <w:sz w:val="18"/>
          <w:szCs w:val="18"/>
          <w:color w:val="auto"/>
        </w:rPr>
        <w:t>potential and avoid inadequate performance. If we or our implementation partners fail to train customers on how to efficiently and effectively use our Digital Analytics Platform or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w:t>
      </w:r>
    </w:p>
    <w:p>
      <w:pPr>
        <w:spacing w:after="0" w:line="28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Digital Analytics Platform may become less marketable, less competitive, or obsolete, and our business, financial condition, results of operations, and growth prospects could be materially adversely affected.</w:t>
      </w:r>
    </w:p>
    <w:p>
      <w:pPr>
        <w:spacing w:after="0" w:line="29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right="140"/>
        <w:spacing w:after="0" w:line="256" w:lineRule="auto"/>
        <w:rPr>
          <w:sz w:val="20"/>
          <w:szCs w:val="20"/>
          <w:color w:val="auto"/>
        </w:rPr>
      </w:pPr>
      <w:r>
        <w:rPr>
          <w:rFonts w:ascii="Times New Roman" w:cs="Times New Roman" w:eastAsia="Times New Roman" w:hAnsi="Times New Roman"/>
          <w:sz w:val="18"/>
          <w:szCs w:val="18"/>
          <w:color w:val="auto"/>
        </w:rPr>
        <w:t>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and restrictions on travel and other limitations as a result of the COVID-19 pandemic may undermine our efforts to provide training and build relationships.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adversely affected.</w:t>
      </w:r>
    </w:p>
    <w:p>
      <w:pPr>
        <w:spacing w:after="0" w:line="29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marketing strategies are not effective in attracting new customers and retaining existing customers, our business and ability to grow our revenues would be harmed.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18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84"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1,500 employees,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During the year ended December 31, 2022, the average length of our sales cycle to enterprises was four to six months, as compared to one to two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right="320"/>
        <w:spacing w:after="0" w:line="312" w:lineRule="auto"/>
        <w:rPr>
          <w:sz w:val="20"/>
          <w:szCs w:val="20"/>
          <w:color w:val="auto"/>
        </w:rPr>
      </w:pPr>
      <w:r>
        <w:rPr>
          <w:rFonts w:ascii="Times New Roman" w:cs="Times New Roman" w:eastAsia="Times New Roman" w:hAnsi="Times New Roman"/>
          <w:sz w:val="17"/>
          <w:szCs w:val="17"/>
          <w:color w:val="auto"/>
        </w:rPr>
        <w:t>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enhance our brand, our business, financial condition, and results of operations may be materially adversely affected.</w:t>
      </w:r>
    </w:p>
    <w:p>
      <w:pPr>
        <w:spacing w:after="0" w:line="121"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perception of our Digital Analytics Platform in the marketplace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international in scope, and we plan further geographic expansion, creating a variety of operational challenges.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and 2021, 38% and 36%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public cloud adoption by international businesses;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which may be unexpected, in a specific country’s or region’s political, economic, or legal and regulatory environment, including Brexit, armed conflicts, pandemics, terrorist activities, tariffs, trade wars, or long-term environmental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Digital Analytics Platform for specific countries;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enforcing contracts, collecting accounts receivable, or satisfying revenue recognition criteria, especially in emerging markets;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and more stringent regulations relating to privacy and data security and the unauthorized use of, or access to, commercial and personal information, particularly in Europe;</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ind w:left="1020" w:right="4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choose to do so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or other pandemics or epidemics, or other global political, social or macroeconomic events, including the war in Ukraine, that could decrease economic activity in certain markets, decrease use of our products and services, or decrease our ability to import, export, or sell our products and services to existing or new customers in international markets;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or preferences for domestic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technical standards, existing or future regulatory and certification requirements, and required features and functionality;</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privacy and data security, including the E.U. General Data Protection Regulation (“GDPR”)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between Russia and Ukraine could materially adversely affect our business, results of operations, and financial condition.</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On February 24,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spacing w:after="0" w:line="180"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actively monitoring the situation in Ukraine and assessing its impact on our business, including our business partners and customers. For example, we and various companies have voluntarily stopped seeking to increase business in Russia. Such circumstances, combined with sanctions have resulted in disruptions to our customers' businesses in the impacted regions, including, at times, their ability to pay for our services. As such, we expect a reduction in revenue from customers in the impacted regions as long as these circumstances continue.</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no way to predict the progress or outcome of the war in Ukraine or its impacts in Ukraine, Russia, or Belarus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and expect to continue for some time to derive, substantially all of our revenue from our Amplitude Analytics product.</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Although we recently released our Amplitude CDP and Amplitude Experiment products, we currently derive, and expect to continue for some time to derive, substantially all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0" w:name="page31"/>
    <w:bookmarkEnd w:id="30"/>
    <w:p>
      <w:pPr>
        <w:ind w:right="20"/>
        <w:spacing w:after="0" w:line="258" w:lineRule="auto"/>
        <w:rPr>
          <w:sz w:val="20"/>
          <w:szCs w:val="20"/>
          <w:color w:val="auto"/>
        </w:rPr>
      </w:pPr>
      <w:r>
        <w:rPr>
          <w:rFonts w:ascii="Times New Roman" w:cs="Times New Roman" w:eastAsia="Times New Roman" w:hAnsi="Times New Roman"/>
          <w:sz w:val="18"/>
          <w:szCs w:val="18"/>
          <w:color w:val="auto"/>
        </w:rPr>
        <w:t>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8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67"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2022 and 2021, our research and development expenses were 34% and 29%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agree to indemnify customers and other third parties, which exposes us to substantial potential liability.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do not know when or if our operations will generate sufficient cash to fully fund our ongoing operations or the growth of our business. 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ind w:left="1020" w:right="1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and evolution of, legal standards relating to the validity, enforceability, and scope of protection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invalidation of our intellectual property rights through administrative processes or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by us to detect infringement or other misappropriation of our intellectual property rights by third parties;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practical, resource, or business limitations on our ability to enforce our rights.</w:t>
      </w:r>
    </w:p>
    <w:p>
      <w:pPr>
        <w:spacing w:after="0" w:line="22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18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intellectual property litigation to which we become a party may require us to do one or more of the following:</w:t>
      </w:r>
    </w:p>
    <w:p>
      <w:pPr>
        <w:spacing w:after="0" w:line="117" w:lineRule="exact"/>
        <w:rPr>
          <w:sz w:val="20"/>
          <w:szCs w:val="20"/>
          <w:color w:val="auto"/>
        </w:rPr>
      </w:pPr>
    </w:p>
    <w:p>
      <w:pPr>
        <w:ind w:left="1020" w:right="10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licensing, or using products or features that incorporate the intellectual property rights that we allegedly infringe, misappropriate, or violate;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subscription fee refunds, or other costs or damages, including indemnification of third parties;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ind w:right="60"/>
        <w:spacing w:after="0" w:line="261" w:lineRule="auto"/>
        <w:rPr>
          <w:sz w:val="20"/>
          <w:szCs w:val="20"/>
          <w:color w:val="auto"/>
        </w:rPr>
      </w:pPr>
      <w:r>
        <w:rPr>
          <w:rFonts w:ascii="Times New Roman" w:cs="Times New Roman" w:eastAsia="Times New Roman" w:hAnsi="Times New Roman"/>
          <w:sz w:val="18"/>
          <w:szCs w:val="18"/>
          <w:color w:val="auto"/>
        </w:rPr>
        <w:t>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negatively affect our ability to sell our platform and subject us to possible litigation.</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Legal Matters</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economic and trade sanctions, and anti-corruption laws and regulations, that may expose us to liability and increase our costs.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Digital Analytics Platform is subject to U.S. export controls, including the U.S. Department of Commerce’s Export Administration Regulations and economic and trade sanctions regulations administered by the U.S. Department of the Treasury’s Office of Foreign Assets Control.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9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ind w:right="200"/>
        <w:spacing w:after="0" w:line="261" w:lineRule="auto"/>
        <w:rPr>
          <w:sz w:val="20"/>
          <w:szCs w:val="20"/>
          <w:color w:val="auto"/>
        </w:rPr>
      </w:pPr>
      <w:r>
        <w:rPr>
          <w:rFonts w:ascii="Times New Roman" w:cs="Times New Roman" w:eastAsia="Times New Roman" w:hAnsi="Times New Roman"/>
          <w:sz w:val="18"/>
          <w:szCs w:val="18"/>
          <w:color w:val="auto"/>
        </w:rPr>
        <w:t>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Violations of applicable anti-corruption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w:t>
      </w:r>
    </w:p>
    <w:p>
      <w:pPr>
        <w:spacing w:after="0" w:line="2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5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a result of Russia’s invasion of Ukraine, governmental authorities in the United States, the European Union, and the United Kingdom, among others, launched an expansion of coordinated sanctions and export control measures, including, for example:</w:t>
      </w:r>
    </w:p>
    <w:p>
      <w:pPr>
        <w:spacing w:after="0" w:line="54" w:lineRule="exact"/>
        <w:rPr>
          <w:sz w:val="20"/>
          <w:szCs w:val="20"/>
          <w:color w:val="auto"/>
        </w:rPr>
      </w:pPr>
    </w:p>
    <w:p>
      <w:pPr>
        <w:ind w:left="1020" w:right="4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on some of the largest state-owned and private Russian financial institutions (and their subsequent removal from the Society for Worldwide Interbank Financial Telecommunication (“SWIFT”) payment system);</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involvement in Russian military activities;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certain Russian businessmen and their businesses, some of which have significant financial and trade ties to the European Union;</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sectoral sanctions in various sectors of the Russian and Belarusian economies and the defense sector;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Kingdom sanctions introducing restrictions on providing loans to, and dealing in securities issued by, persons connected with Russia;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access to the financial and capital markets in the European Union, as well as prohibitions on aircraft leasing operations;</w:t>
      </w:r>
    </w:p>
    <w:p>
      <w:pPr>
        <w:spacing w:after="0" w:line="117"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prohibiting most commercial activities of U.S., U.K., and E.U. persons in the so-called People’s Republic of Donetsk and the so-called People’s Republic of Luhansk (and, with respect to the E.U., the areas of Kherson and Zaporizhzhia not controlled by the Ukrainian government), with all of these new restrictions largely tracking prior prohibitions relating to Crimea and Sevastopol;</w:t>
      </w:r>
    </w:p>
    <w:p>
      <w:pPr>
        <w:spacing w:after="0" w:line="67"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closure of airspace to Russian aircraft;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oil, liquefied natural gas, and coal to the United States and on “new investment” in Russia’s energy sector (often with similar bans being enacted in the United Kingdom and the E.U.);</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fish, seafood, and preparations thereof, alcoholic beverages, non-industrial diamonds, and gold to the United States;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 on “new investment” in the Russian Federation by a U.S. person, which may be interpreted broadly (with a similar prohibition also enacted by the United Kingdom);</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on the provision of certain professional services, including accounting, trust and corporate formation, auditing, and management consulting services, among others;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on the provision of services related to the worldwide maritime transportation of seaborne Russian oil, if purchased above a specific price cap.</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the conflict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conflict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we do not currently have contracts directly with the entities or businesses on the sanctions list and we currently do not have facilities or employees in Russia, Belarus, the Crimea Region of Ukraine, the so-called Donetsk People’s Republic, or the so-called Luhansk People’s Republic. We are reviewing and monitoring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conflict in Ukraine, it is possible that our business, financial condition, and results of operations could be materially adversely affected.</w:t>
      </w:r>
    </w:p>
    <w:p>
      <w:pPr>
        <w:spacing w:after="0" w:line="29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18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may incur significant expenses to comply with the laws, regulations, and other obligations that apply to us. For example, the GDPR imposes stringent data protection requirements for processing the personal data of individuals within the European Economic Area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on July 16, 2020, the Court of Justice of the European Union (the “CJEU”) invalidated the EU-US Privacy Shield Framework, or Privacy Shield, under which personal information could be transferred from the EEA (and the United Kingdom) to relevant self-certified U.S. entities.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The CJEU further noted that reliance on the standard contractual clauses (“SCCs”), a standard form of contract approved by the European Commission as an adequate personal data transfer mechanism and potential alternative to the Privacy Shield) alone may not necessarily be sufficient in all circumstances and that transfers must be assessed on a case-by-case basis. European court and regulatory decisions subsequent to the CJEU decision of July 16, 2020 have taken a restrictive approach to international data transfers. As the enforcement landscape further develops, and supervisory authorities issue further guidance on—and revised standard contractual clauses for—international data transfers, we could suffer additional costs, complaints, and/or regulatory investigations or fines, we may have to stop using certain tools and vendors and make other operational changes, and/or manner in which we provide our services could otherwise be affected, which could adversely affect our business, financial condition, and results of operations.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Since the beginning of 2021, companies have had to comply with both the GDPR and the UK GDPR, which, together with the amended UK Data Protection Act 2018, retains the GDPR in UK national law. The UK GDPR mirrors the fines under the GDPR, imposing fines up to the greater of €20 million (£17.5 million) or 4% of global turnover.</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California Consumer Privacy Act of 2018 (the “CCPA”) became effective on January 1, 2020. The CCPA requires companies that process information on California residents to make certain disclosures to consumers about their data collection, use, and sharing practices, allows consumers to opt out of certain data sharing with third parties and exercise certain individual rights regarding their personal information, provides a new private right of action for data breaches, and provides for penalties for noncompliance. Additionally, the California Privacy Rights Act (the “CPRA”) was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went into effect on January 1, 2023, and additional compliance investment and potential business process changes may be required. Similar laws have been passed in Virginia, Colorado, Connecticut, and Utah and have been proposed in other states and at the federal level, reflecting a trend toward more stringent privacy legislation in the United States. The enactment of such laws may have potentially conflicting requirements that would make compliance challenging.</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may become subject to legal proceedings and claims that arise in the ordinary course of business, such as claims brought by our customers in connection with commercial disputes or employment claims made by our current or former employees. Litigation</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ind w:right="140"/>
        <w:spacing w:after="0" w:line="256" w:lineRule="auto"/>
        <w:rPr>
          <w:sz w:val="20"/>
          <w:szCs w:val="20"/>
          <w:color w:val="auto"/>
        </w:rPr>
      </w:pPr>
      <w:r>
        <w:rPr>
          <w:rFonts w:ascii="Times New Roman" w:cs="Times New Roman" w:eastAsia="Times New Roman" w:hAnsi="Times New Roman"/>
          <w:sz w:val="18"/>
          <w:szCs w:val="18"/>
          <w:color w:val="auto"/>
        </w:rPr>
        <w:t>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 and Accounting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197"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5"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8"/>
          <w:szCs w:val="18"/>
          <w:color w:val="auto"/>
        </w:rPr>
        <w:t>In addition, the Organisation for Economic Co-operation and Development has initiated a base erosion and profit shifting project that seeks to establish certain international standards for taxing the worldwide income of multinational companies.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and have determined that none of the operating losses will expire solely due to Section 382 limitations. However, we may experience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7" w:name="page38"/>
    <w:bookmarkEnd w:id="37"/>
    <w:p>
      <w:pPr>
        <w:ind w:right="60"/>
        <w:spacing w:after="0" w:line="261" w:lineRule="auto"/>
        <w:rPr>
          <w:sz w:val="20"/>
          <w:szCs w:val="20"/>
          <w:color w:val="auto"/>
        </w:rPr>
      </w:pPr>
      <w:r>
        <w:rPr>
          <w:rFonts w:ascii="Times New Roman" w:cs="Times New Roman" w:eastAsia="Times New Roman" w:hAnsi="Times New Roman"/>
          <w:sz w:val="18"/>
          <w:szCs w:val="18"/>
          <w:color w:val="auto"/>
        </w:rPr>
        <w:t>ownership changes as a result of subsequent shifts in our stock ownership, some of which may be outside of our control. Such change could limit the amount of NOLs that we can utilize annually to offset future taxable income or tax liabilities. Subsequent ownership changes and changes to the U.S. tax rules in respect of the utilization of NOLs may further affect the limitation in future years. In addition, at the state level, there may be periods during which the use of NOLs is suspended or otherwise limited, which could accelerate or permanently increase state taxes owed.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 material adverse effect on our results of operations.</w:t>
      </w:r>
    </w:p>
    <w:p>
      <w:pPr>
        <w:spacing w:after="0" w:line="121" w:lineRule="exact"/>
        <w:rPr>
          <w:sz w:val="20"/>
          <w:szCs w:val="20"/>
          <w:color w:val="auto"/>
        </w:rPr>
      </w:pPr>
    </w:p>
    <w:p>
      <w:pPr>
        <w:ind w:right="380" w:firstLine="509"/>
        <w:spacing w:after="0" w:line="292" w:lineRule="auto"/>
        <w:rPr>
          <w:sz w:val="20"/>
          <w:szCs w:val="20"/>
          <w:color w:val="auto"/>
        </w:rPr>
      </w:pPr>
      <w:r>
        <w:rPr>
          <w:rFonts w:ascii="Times New Roman" w:cs="Times New Roman" w:eastAsia="Times New Roman" w:hAnsi="Times New Roman"/>
          <w:sz w:val="17"/>
          <w:szCs w:val="17"/>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consolidated financial statements and may materially affect our financial results in the period or periods in which such outcome is determined.</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Tax Cuts and Jobs Act, the Coronavirus Aid, Relief, and Economic Security Act, and the Inflation Reduction Act;</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developments could materially adversely affect our results of operations.</w:t>
      </w:r>
    </w:p>
    <w:p>
      <w:pPr>
        <w:spacing w:after="0" w:line="225"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8"/>
          <w:szCs w:val="18"/>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2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51"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8"/>
          <w:szCs w:val="18"/>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 (“Wayfair”)</w:t>
      </w:r>
      <w:r>
        <w:rPr>
          <w:rFonts w:ascii="Times New Roman" w:cs="Times New Roman" w:eastAsia="Times New Roman" w:hAnsi="Times New Roman"/>
          <w:sz w:val="18"/>
          <w:szCs w:val="18"/>
          <w:color w:val="auto"/>
        </w:rPr>
        <w:t xml:space="preserve">, that online sellers can be required to collect sales and use tax despite not having a physical presence in the buyer’s state. In response to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8" w:name="page39"/>
    <w:bookmarkEnd w:id="38"/>
    <w:p>
      <w:pPr>
        <w:ind w:right="80" w:firstLine="509"/>
        <w:spacing w:after="0" w:line="271" w:lineRule="auto"/>
        <w:rPr>
          <w:sz w:val="20"/>
          <w:szCs w:val="20"/>
          <w:color w:val="auto"/>
        </w:rPr>
      </w:pPr>
      <w:r>
        <w:rPr>
          <w:rFonts w:ascii="Times New Roman" w:cs="Times New Roman" w:eastAsia="Times New Roman" w:hAnsi="Times New Roman"/>
          <w:sz w:val="18"/>
          <w:szCs w:val="18"/>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27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appearing elsewhere in this Annual Report on Form 10-K.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this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has been, and in the future, may be, volatile, and could decline significantly and rapidly.</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has fluctuated and may in the future fluctuate substantially in response to numerous factors in addition to the ones described in the preceding risk factors, many of which are beyond our control, including:</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results of operations, or operating metrics and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 or our failure to meet these projections;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Digital Analytics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Digital Analytics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senior management, or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A common stock made available for trading;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9" w:name="page40"/>
    <w:bookmarkEnd w:id="39"/>
    <w:p>
      <w:pPr>
        <w:ind w:left="1020" w:right="2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economic slowdowns, recessions, inflationary pressures, rising interest rates, financial market fluctuations, and reduced credit availability;</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(including the recent and developing war in Ukraine), incidents of terrorism, pandemics (including the COVID-19 pandemic), elections, or responses to these events;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investors or securities analysts view our stock structure unfavorably, particularly our dual class structure and the concentrated voting control of our executive officers, directors, and their affiliates.</w:t>
      </w:r>
    </w:p>
    <w:p>
      <w:pPr>
        <w:spacing w:after="0" w:line="16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We may be the target of this type of litigation in the future, which could result in substantial expenses and divert our management’s attention.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have the ability to influence the outcome of director elections and other matters requiring stockholder approval.</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the date of this Annual Report on Form 10-K,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p>
    <w:p>
      <w:pPr>
        <w:spacing w:after="0" w:line="29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existing stockholders, executive officers,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p>
    <w:p>
      <w:pPr>
        <w:spacing w:after="0" w:line="18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3" w:lineRule="exact"/>
        <w:rPr>
          <w:sz w:val="20"/>
          <w:szCs w:val="20"/>
          <w:color w:val="auto"/>
        </w:rPr>
      </w:pPr>
    </w:p>
    <w:p>
      <w:pPr>
        <w:ind w:right="200" w:firstLine="509"/>
        <w:spacing w:after="0" w:line="313"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B common stock, any future issuances of Class B common stock would be dilutive to holders of Class A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trading price of our Class A common stock.</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directors, and their affiliates, will result in a lower or more volatile trading price of our Class A common stock or in adverse publicity or other adverse consequences. For example, certain index providers have announced restrictions on including</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right="40"/>
        <w:spacing w:after="0" w:line="258" w:lineRule="auto"/>
        <w:rPr>
          <w:sz w:val="20"/>
          <w:szCs w:val="20"/>
          <w:color w:val="auto"/>
        </w:rPr>
      </w:pPr>
      <w:r>
        <w:rPr>
          <w:rFonts w:ascii="Times New Roman" w:cs="Times New Roman" w:eastAsia="Times New Roman" w:hAnsi="Times New Roman"/>
          <w:sz w:val="18"/>
          <w:szCs w:val="18"/>
          <w:color w:val="auto"/>
        </w:rPr>
        <w:t>companies with multiple class share structures in certain of their indices. In July 2017, FTSE Russell and Standard &amp; Poor’s announced that they would cease to allow most newly public companies utilizing dual or multiple 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w:t>
      </w:r>
    </w:p>
    <w:p>
      <w:pPr>
        <w:spacing w:after="0" w:line="28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None of our stockholders are party to any contractual lock-up agreement or other contractual restrictions on transfer. Sales of substantial amounts of our Class A common stock in the public markets, or the perception that sales might occur, could cause the trading price of our Class A common stock to decline.</w:t>
      </w:r>
    </w:p>
    <w:p>
      <w:pPr>
        <w:spacing w:after="0" w:line="6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of our securityholders are subject to any contractual lock-up or other contractual restriction on the transfer or sale of their shares.</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filed registration statements to register all shares subject to options and RSUs outstanding or reserved for future issuance under our equity compensation plans. As of December 31, 2022, we had options outstanding that, if fully exercised, would result in the issuance of 16,767,752 shares of Class A common stock, as well as 9,914,125 shares of Class A common stock subject to RSU awards.</w:t>
      </w:r>
    </w:p>
    <w:p>
      <w:pPr>
        <w:spacing w:after="0" w:line="176"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Accordingly, these shares will be able to be freely sold in the public market upon issuance, subject to applicable vesting requirements and compliance by affiliates with Rule 144.</w:t>
      </w:r>
    </w:p>
    <w:p>
      <w:pPr>
        <w:spacing w:after="0" w:line="162"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8"/>
          <w:szCs w:val="18"/>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5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7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trading price of our Class A common stock.</w:t>
      </w:r>
    </w:p>
    <w:p>
      <w:pPr>
        <w:spacing w:after="0" w:line="5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6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an “emerging growth company,” and, as a result, we now must comply with increased reporting and disclosure requirements, which may increase our costs.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1" w:name="page42"/>
    <w:bookmarkEnd w:id="41"/>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no longer qualify as an “emerging growth company” within the meaning of the Securities Act, as modified by the Jumpstart Our Business Startups Act of 2012 (the “JOBS Act”) and, as a result, are subject to various disclosure and compliance requirements that did not previously apply, such as:</w:t>
      </w:r>
    </w:p>
    <w:p>
      <w:pPr>
        <w:spacing w:after="0" w:line="68" w:lineRule="exact"/>
        <w:rPr>
          <w:sz w:val="20"/>
          <w:szCs w:val="20"/>
          <w:color w:val="auto"/>
        </w:rPr>
      </w:pPr>
    </w:p>
    <w:p>
      <w:pPr>
        <w:ind w:left="1020" w:right="6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independent registered public accounting firm attest to the effectiveness of our internal control over financial reporting under Section 404(b) of the Sarbanes-Oxley Act of 2002 (the “Sarbanes-Oxley Act”);</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adopt new or revised accounting standards when they are applicable to public companies, instead of delaying their adoption until they are applicable to private companies;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requirement that may be adopted by the Public Company Accounting Oversight Board regarding obligatory audit firm rotation or a supplement to the auditor’s report providing additional information about the audit and the financial statements;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provide full and more detailed disclosures regarding executive compensation; and</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hold a non-binding advisory vote on executive compensation and obtain stockholder approval of any golden parachute payments not previously approved.</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expect that the loss of emerging growth company status and compliance with these additional requirements will increase our legal and financial compliance costs and cause management and other personnel to divert attention from operational and other business matters to devote substantial time to public company reporting requirements. In addition, if we are not able to comply with changing requirements in a timely manner, the trading price of our Class A common stock could decline and we could be subject to sanctions or investigations by Nasdaq, the SEC or other regulatory authorities, which would require additional financial and management resources.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trading price of our Class A common stock.</w:t>
      </w:r>
    </w:p>
    <w:p>
      <w:pPr>
        <w:spacing w:after="0" w:line="5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54" w:lineRule="exact"/>
        <w:rPr>
          <w:sz w:val="20"/>
          <w:szCs w:val="20"/>
          <w:color w:val="auto"/>
        </w:rPr>
      </w:pPr>
    </w:p>
    <w:p>
      <w:pPr>
        <w:ind w:left="1020" w:right="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for cause;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54" w:lineRule="exact"/>
        <w:rPr>
          <w:sz w:val="20"/>
          <w:szCs w:val="20"/>
          <w:color w:val="auto"/>
        </w:rPr>
      </w:pPr>
    </w:p>
    <w:p>
      <w:pPr>
        <w:ind w:left="1020" w:right="60" w:hanging="503"/>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312" w:lineRule="auto"/>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26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bylaws to reduce our indemnification obligations to directors, officers, employees, and agents.</w:t>
      </w:r>
    </w:p>
    <w:p>
      <w:pPr>
        <w:spacing w:after="0" w:line="162" w:lineRule="exact"/>
        <w:rPr>
          <w:sz w:val="20"/>
          <w:szCs w:val="20"/>
          <w:color w:val="auto"/>
        </w:rPr>
      </w:pPr>
    </w:p>
    <w:p>
      <w:pPr>
        <w:jc w:val="both"/>
        <w:ind w:right="400" w:firstLine="509"/>
        <w:spacing w:after="0" w:line="346" w:lineRule="auto"/>
        <w:rPr>
          <w:sz w:val="20"/>
          <w:szCs w:val="20"/>
          <w:color w:val="auto"/>
        </w:rPr>
      </w:pPr>
      <w:r>
        <w:rPr>
          <w:rFonts w:ascii="Times New Roman" w:cs="Times New Roman" w:eastAsia="Times New Roman" w:hAnsi="Times New Roman"/>
          <w:sz w:val="17"/>
          <w:szCs w:val="17"/>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1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9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3" w:name="page44"/>
    <w:bookmarkEnd w:id="43"/>
    <w:p>
      <w:pPr>
        <w:ind w:right="780"/>
        <w:spacing w:after="0" w:line="313" w:lineRule="auto"/>
        <w:rPr>
          <w:sz w:val="20"/>
          <w:szCs w:val="20"/>
          <w:color w:val="auto"/>
        </w:rPr>
      </w:pPr>
      <w:r>
        <w:rPr>
          <w:rFonts w:ascii="Times New Roman" w:cs="Times New Roman" w:eastAsia="Times New Roman" w:hAnsi="Times New Roman"/>
          <w:sz w:val="18"/>
          <w:szCs w:val="18"/>
          <w:color w:val="auto"/>
        </w:rPr>
        <w:t>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attract and retain highly skilled employees could materially adversely affect our business.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expect to continue to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As our company grows and evolves, we may need to implement more complex organizational management structures or adapt our corporate culture and work environments. These changes could have an adverse impact on our corporate culture, which could harm our ability to retain and recruit personnel.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If we fail to attract new personnel or fail to retain and motivate our current personnel, our business and growth prospects could be materially adversely affected.</w:t>
      </w:r>
    </w:p>
    <w:p>
      <w:pPr>
        <w:spacing w:after="0" w:line="29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research and development, operations, security, marketing, sales, support, general and administrative functions, and on individual contributors in our research and development and operations.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business, regulatory, or political climate in the San Francisco Bay Area could adversely affect our operations.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8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Digital Analytics Platform, and could harm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Digital Analytics Platform could decline.</w:t>
      </w:r>
    </w:p>
    <w:p>
      <w:pPr>
        <w:spacing w:after="0" w:line="2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ind w:firstLine="509"/>
        <w:spacing w:after="0" w:line="263"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w:t>
      </w:r>
    </w:p>
    <w:p>
      <w:pPr>
        <w:spacing w:after="0" w:line="2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in the past sought, and intend in the future to seek, to acquire or invest in businesses, joint ventures, and platform technologies that we believe could complement or expand our Digital Analytics Platform, enhance our technology, or otherwise offer growth opportunities. Any such acquisitions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occurrences and similar events.</w:t>
      </w:r>
    </w:p>
    <w:p>
      <w:pPr>
        <w:spacing w:after="0" w:line="121"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Natural disasters or other catastrophic events may cause damage or disruption to our operations, international commerce, and the global economy, and could harm our business. We have a large employee presence in San Francisco, California. In the event of a major earthquake, fire, power loss, telecommunications failure, cyberattack, war (including the war in Ukraine),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18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Additionally, we rely on our network and third-party infrastructure and applications, internal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176" w:lineRule="exact"/>
        <w:rPr>
          <w:sz w:val="20"/>
          <w:szCs w:val="20"/>
          <w:color w:val="auto"/>
        </w:rPr>
      </w:pPr>
    </w:p>
    <w:p>
      <w:pPr>
        <w:jc w:val="both"/>
        <w:ind w:right="860" w:firstLine="509"/>
        <w:spacing w:after="0" w:line="266" w:lineRule="auto"/>
        <w:rPr>
          <w:sz w:val="20"/>
          <w:szCs w:val="20"/>
          <w:color w:val="auto"/>
        </w:rPr>
      </w:pPr>
      <w:r>
        <w:rPr>
          <w:rFonts w:ascii="Times New Roman" w:cs="Times New Roman" w:eastAsia="Times New Roman" w:hAnsi="Times New Roman"/>
          <w:sz w:val="18"/>
          <w:szCs w:val="18"/>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trading price and trading volume of our Class A common stock could decline.</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needs to devote substantial time to compliance with our public company responsibilities and corporate governance practices.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right="120" w:firstLine="509"/>
        <w:spacing w:after="0" w:line="277" w:lineRule="auto"/>
        <w:rPr>
          <w:sz w:val="20"/>
          <w:szCs w:val="20"/>
          <w:color w:val="auto"/>
        </w:rPr>
      </w:pPr>
      <w:r>
        <w:rPr>
          <w:rFonts w:ascii="Times New Roman" w:cs="Times New Roman" w:eastAsia="Times New Roman" w:hAnsi="Times New Roman"/>
          <w:sz w:val="17"/>
          <w:szCs w:val="17"/>
          <w:color w:val="auto"/>
        </w:rPr>
        <w:t>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7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beginning with this Annual Report on Form 10-K for the fiscal year ended December 31, 2022. This assessment needs to include disclosure of any material weaknesses identified by our management in our internal control over financial reporting. In addition, our independent registered public accounting firm is required to attest to the effectiveness of our internal control over financial reporting beginning with this Annual Report on Form 10-K for the fiscal year ended December 31, 2022.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principal executive office is located in San Francisco and consists of approximately 57,530 square feet of space under a sublease that expires on September 30, 2025. We also lease six additional offices in Amsterdam, Paris, Singapore, London, Vancouver, and New York. 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We believe that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6" w:name="page47"/>
    <w:bookmarkEnd w:id="4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right="182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Price of Our Common Stock</w:t>
      </w: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Class A common stock has been traded on the Nasdaq Capital Market under the symbol “AMPL” since September 28, 2021. Prior to that date, there was no public trading market for our Class A common stock. Our Class B common stock is neither listed nor publicly traded.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February 8, 2023, there were 31 holders of record of our Class A common stock and 37 holders of record of our Class B common stock. The actual number of stockholders is greater than the number of holders of record and includes stockholders who are beneficial owners but whose shares are held in street name by brokers and other nominees.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 on our common stock. We do not expect to declare or pay any cash dividends in the foreseeable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See the section titled “Security Ownership of Certain Beneficial Owners and Management and Related Stockholder Matters” for information regarding securities authorized for issuance.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graph compares (i) the cumulative total stockholder return on our Class A common stock from September 28, 2021 (the date our Class A common stock commenced trading on the Nasdaq Capital Market) through December 31, 2022 with (ii) the cumulative total return of the Nasdaq Composite Index and the Nasdaq Emerging Cloud Index over the same period, assuming the investment of $100 in our Class A common stock and in both of the other indices on September 28, 2021 and the reinvestment of dividends. The graph uses the beginning market price on September 28, 2021 of $50 per share as the initial value of our Class A</w:t>
      </w:r>
    </w:p>
    <w:p>
      <w:pPr>
        <w:spacing w:after="0" w:line="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57" w:right="439" w:bottom="1440" w:gutter="0" w:footer="0" w:header="0"/>
        </w:sectPr>
      </w:pPr>
    </w:p>
    <w:bookmarkStart w:id="47" w:name="page48"/>
    <w:bookmarkEnd w:id="47"/>
    <w:p>
      <w:pPr>
        <w:ind w:right="440"/>
        <w:spacing w:after="0" w:line="282" w:lineRule="auto"/>
        <w:rPr>
          <w:sz w:val="20"/>
          <w:szCs w:val="20"/>
          <w:color w:val="auto"/>
        </w:rPr>
      </w:pPr>
      <w:r>
        <w:rPr>
          <w:rFonts w:ascii="Times New Roman" w:cs="Times New Roman" w:eastAsia="Times New Roman" w:hAnsi="Times New Roman"/>
          <w:sz w:val="18"/>
          <w:szCs w:val="18"/>
          <w:color w:val="auto"/>
        </w:rPr>
        <w:t>common stock. As discussed above, we have never declared or paid a cash dividend on our Class A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320040</wp:posOffset>
            </wp:positionV>
            <wp:extent cx="4963795" cy="2828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6379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 Item 1A in this Annual Report on Form 10-K. Our fiscal year ends December 31.</w:t>
      </w:r>
    </w:p>
    <w:p>
      <w:pPr>
        <w:spacing w:after="0" w:line="182"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report to “Amplitude,” the “Company,” “we,” “our,” “us,” or similar terms refer to Amplitude, Inc. and its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Amplitude is a leading Digital Analytics Platform that provides self-service visibility into the entire customer journey. With Amplitude, organizations can build amazing product experiences, drive revenue growth, and win their categories. We work with almost 2,000 paying customers of various sizes and stages of digital maturity, across many industries, including the teams behind some of the most-beloved digital products in the world. We have experienced significant growth in recent years, with more than 700 employees in seven global offices.</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48" w:name="page49"/>
    <w:bookmarkEnd w:id="48"/>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architected our Behavioral Graph to power numerous products, beginning with our core product analytics solution. Consistently ranked #1 in multiple categories by G2, Amplitude Analytics provides real-time product data so cross-functional teams can understand what is working and what is not. We have since expanded our offerings to include products that enable teams to build personalized product experiences, test product changes, and improve data quality across their technology stack.</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experienced significant growth in recent years driven by the rapid adoption of our Digital Analytics Platform by our global, diversified base of 1,994 paying customers as of December 31, 2022. Our customers span across industries and sizes, from the leading digital innovators to those looking to transform and adapt their business in the new digital age. For the years ended December 31, 2022 and 2021, our revenue was $238.1 million and $167.3 million, respectively, representing year-over-year growth of 42%. For the years ended December 31, 2022 and 2021, our net loss was $93.4 million and $75.0 million, respectively. For the years ended December 31, 2022 and 2021, our net cash used in operating activities was $5.4 million and $31.7 million, respectively, and our free cash flow was $(11.2) million and $(34.9) million,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21" w:lineRule="exact"/>
        <w:rPr>
          <w:sz w:val="20"/>
          <w:szCs w:val="20"/>
          <w:color w:val="auto"/>
        </w:rPr>
      </w:pPr>
    </w:p>
    <w:p>
      <w:pPr>
        <w:jc w:val="both"/>
        <w:ind w:right="140" w:firstLine="509"/>
        <w:spacing w:after="0" w:line="256" w:lineRule="auto"/>
        <w:rPr>
          <w:sz w:val="20"/>
          <w:szCs w:val="20"/>
          <w:color w:val="auto"/>
        </w:rPr>
      </w:pPr>
      <w:r>
        <w:rPr>
          <w:rFonts w:ascii="Times New Roman" w:cs="Times New Roman" w:eastAsia="Times New Roman" w:hAnsi="Times New Roman"/>
          <w:sz w:val="18"/>
          <w:szCs w:val="18"/>
          <w:color w:val="auto"/>
        </w:rPr>
        <w:t>We generate revenue primarily through selling subscriptions to our platform. We reach customers through an efficient direct sales motion, solution partners, and product-led growth initiatives, including subscription plans to meet the needs of a diverse range of companies. For the year ended December 31, 2022, subscription revenue comprised 97% of our total revenue. Our customers typically look to use our platform for an initial business use case they have identified, such as analytics on a digital product. As our customers experience the value of our platform in helping to drive business outcomes in that initial use case, they frequently expand that initial use case, expand into new use cases, and expand into additional products. Examples of ways customers expand the use of our platform include the following:</w:t>
      </w:r>
    </w:p>
    <w:p>
      <w:pPr>
        <w:spacing w:after="0" w:line="295" w:lineRule="exact"/>
        <w:rPr>
          <w:sz w:val="20"/>
          <w:szCs w:val="20"/>
          <w:color w:val="auto"/>
        </w:rPr>
      </w:pPr>
    </w:p>
    <w:p>
      <w:pPr>
        <w:ind w:left="1020" w:right="18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expand an initial use case by tracking additional events on a digital product to gain greater insight into customer journeys or add additional functionality (e.g. predictive analytics, behavioral reports) to meet the needs of teams across the organization;</w:t>
      </w:r>
    </w:p>
    <w:p>
      <w:pPr>
        <w:spacing w:after="0" w:line="269"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expand into new use cases by using our platform for additional digital products in their digital product portfolio and empowering additional teams (e.g. product, marketing, engineering, analytics) responsible for those digital products; and</w:t>
      </w:r>
    </w:p>
    <w:p>
      <w:pPr>
        <w:spacing w:after="0" w:line="2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expand by layering on additional offerings onto our core Analytics offering to power new capabilities to drive business outcomes.</w:t>
      </w:r>
    </w:p>
    <w:p>
      <w:pPr>
        <w:spacing w:after="0" w:line="200" w:lineRule="exact"/>
        <w:rPr>
          <w:sz w:val="20"/>
          <w:szCs w:val="20"/>
          <w:color w:val="auto"/>
        </w:rPr>
      </w:pPr>
    </w:p>
    <w:p>
      <w:pPr>
        <w:spacing w:after="0" w:line="24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pricing model is based on both the platform functionality required by our customers as well as committed event volume. An event could be any action that a user takes in a digital product, such as ‘Create account’, ‘Add to cart’, or ‘Share photo’. Events can also be actions that occur in a product without user action, such as ‘Verification completed’. Customers have the flexibility to choose the events sent to our platform and can also attach custom properties to an event to enable greater insight on the digital product end user.</w:t>
      </w:r>
    </w:p>
    <w:p>
      <w:pPr>
        <w:spacing w:after="0" w:line="1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been effective in helping our customers to gauge the proper event volume to contract to ensure that they maximize their investment in our platform. In situations where customers exceed their committed event volume in a given period, they incur overage charges that we have the contractual right to bill at our discretion. Depending on the circumstances, we often use this as an opportunity to renegotiate a customer contract to ensure they have the right contracted event volume to meet their business objectives. Historically, overage charges have not made up a significant portion of our revenue. In many cases, customers will proactively expand their contract within the contract term, generally increasing event volume and platform capabilities to expand existing or address new use cases. Substantially all of our customer contracts have a subscription period of one year or longer. In the fiscal year ended December 31, 2022, we billed a majority of these contracts annually in advance with the remainder billed quarterly, semi-annually, or monthly.</w:t>
      </w:r>
    </w:p>
    <w:p>
      <w:pPr>
        <w:spacing w:after="0" w:line="187"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offer a variety of plans that are right-sized to match the depth and breadth of our customers’ needs and complexity. Our </w:t>
      </w:r>
      <w:r>
        <w:rPr>
          <w:rFonts w:ascii="Times New Roman" w:cs="Times New Roman" w:eastAsia="Times New Roman" w:hAnsi="Times New Roman"/>
          <w:sz w:val="18"/>
          <w:szCs w:val="18"/>
          <w:i w:val="1"/>
          <w:iCs w:val="1"/>
          <w:color w:val="auto"/>
        </w:rPr>
        <w:t>Starter</w:t>
      </w:r>
      <w:r>
        <w:rPr>
          <w:rFonts w:ascii="Times New Roman" w:cs="Times New Roman" w:eastAsia="Times New Roman" w:hAnsi="Times New Roman"/>
          <w:sz w:val="18"/>
          <w:szCs w:val="18"/>
          <w:color w:val="auto"/>
        </w:rPr>
        <w:t xml:space="preserve"> plan is a free-tier, self-service option that allows prospects to easily sign up and begin to leverage the power of the platform in rapid fashion. This plan includes core product analytics with the ability to track up to 10 million events per month. Users of this plan</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ind w:right="260"/>
        <w:spacing w:after="0" w:line="282" w:lineRule="auto"/>
        <w:rPr>
          <w:sz w:val="20"/>
          <w:szCs w:val="20"/>
          <w:color w:val="auto"/>
        </w:rPr>
      </w:pPr>
      <w:r>
        <w:rPr>
          <w:rFonts w:ascii="Times New Roman" w:cs="Times New Roman" w:eastAsia="Times New Roman" w:hAnsi="Times New Roman"/>
          <w:sz w:val="18"/>
          <w:szCs w:val="18"/>
          <w:color w:val="auto"/>
        </w:rPr>
        <w:t>get access to unlimited user seats and are encouraged to add additional team members across functions to proliferate the use of our platform within their organization.</w:t>
      </w:r>
    </w:p>
    <w:p>
      <w:pPr>
        <w:spacing w:after="0" w:line="160"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If a prospect outgrows the usage limits in the </w:t>
      </w:r>
      <w:r>
        <w:rPr>
          <w:rFonts w:ascii="Times New Roman" w:cs="Times New Roman" w:eastAsia="Times New Roman" w:hAnsi="Times New Roman"/>
          <w:sz w:val="18"/>
          <w:szCs w:val="18"/>
          <w:i w:val="1"/>
          <w:iCs w:val="1"/>
          <w:color w:val="auto"/>
        </w:rPr>
        <w:t>Starter</w:t>
      </w:r>
      <w:r>
        <w:rPr>
          <w:rFonts w:ascii="Times New Roman" w:cs="Times New Roman" w:eastAsia="Times New Roman" w:hAnsi="Times New Roman"/>
          <w:sz w:val="18"/>
          <w:szCs w:val="18"/>
          <w:color w:val="auto"/>
        </w:rPr>
        <w:t xml:space="preserve"> plan or requires additional features such as predictive analytics, behavioral reports, or additional event volume, we offer a </w:t>
      </w:r>
      <w:r>
        <w:rPr>
          <w:rFonts w:ascii="Times New Roman" w:cs="Times New Roman" w:eastAsia="Times New Roman" w:hAnsi="Times New Roman"/>
          <w:sz w:val="18"/>
          <w:szCs w:val="18"/>
          <w:i w:val="1"/>
          <w:iCs w:val="1"/>
          <w:color w:val="auto"/>
        </w:rPr>
        <w:t>Growth</w:t>
      </w:r>
      <w:r>
        <w:rPr>
          <w:rFonts w:ascii="Times New Roman" w:cs="Times New Roman" w:eastAsia="Times New Roman" w:hAnsi="Times New Roman"/>
          <w:sz w:val="18"/>
          <w:szCs w:val="18"/>
          <w:color w:val="auto"/>
        </w:rPr>
        <w:t xml:space="preserve"> plan that requires conversion to a paid subscription contract. </w:t>
      </w:r>
      <w:r>
        <w:rPr>
          <w:rFonts w:ascii="Times New Roman" w:cs="Times New Roman" w:eastAsia="Times New Roman" w:hAnsi="Times New Roman"/>
          <w:sz w:val="18"/>
          <w:szCs w:val="18"/>
          <w:i w:val="1"/>
          <w:iCs w:val="1"/>
          <w:color w:val="auto"/>
        </w:rPr>
        <w:t>Growth</w:t>
      </w:r>
      <w:r>
        <w:rPr>
          <w:rFonts w:ascii="Times New Roman" w:cs="Times New Roman" w:eastAsia="Times New Roman" w:hAnsi="Times New Roman"/>
          <w:sz w:val="18"/>
          <w:szCs w:val="18"/>
          <w:color w:val="auto"/>
        </w:rPr>
        <w:t xml:space="preserve"> plan users also get access to dedicated customer support to further maximize the value from our platform. Customers that require the complete analytics tool kit to handle more scale and larger, sophisticated use cases can purchase our </w:t>
      </w:r>
      <w:r>
        <w:rPr>
          <w:rFonts w:ascii="Times New Roman" w:cs="Times New Roman" w:eastAsia="Times New Roman" w:hAnsi="Times New Roman"/>
          <w:sz w:val="18"/>
          <w:szCs w:val="18"/>
          <w:i w:val="1"/>
          <w:iCs w:val="1"/>
          <w:color w:val="auto"/>
        </w:rPr>
        <w:t>Enterprise</w:t>
      </w:r>
      <w:r>
        <w:rPr>
          <w:rFonts w:ascii="Times New Roman" w:cs="Times New Roman" w:eastAsia="Times New Roman" w:hAnsi="Times New Roman"/>
          <w:sz w:val="18"/>
          <w:szCs w:val="18"/>
          <w:color w:val="auto"/>
        </w:rPr>
        <w:t xml:space="preserve"> plan. The </w:t>
      </w:r>
      <w:r>
        <w:rPr>
          <w:rFonts w:ascii="Times New Roman" w:cs="Times New Roman" w:eastAsia="Times New Roman" w:hAnsi="Times New Roman"/>
          <w:sz w:val="18"/>
          <w:szCs w:val="18"/>
          <w:i w:val="1"/>
          <w:iCs w:val="1"/>
          <w:color w:val="auto"/>
        </w:rPr>
        <w:t>Enterprise</w:t>
      </w:r>
      <w:r>
        <w:rPr>
          <w:rFonts w:ascii="Times New Roman" w:cs="Times New Roman" w:eastAsia="Times New Roman" w:hAnsi="Times New Roman"/>
          <w:sz w:val="18"/>
          <w:szCs w:val="18"/>
          <w:color w:val="auto"/>
        </w:rPr>
        <w:t xml:space="preserve"> plan includes everything in the </w:t>
      </w:r>
      <w:r>
        <w:rPr>
          <w:rFonts w:ascii="Times New Roman" w:cs="Times New Roman" w:eastAsia="Times New Roman" w:hAnsi="Times New Roman"/>
          <w:sz w:val="18"/>
          <w:szCs w:val="18"/>
          <w:i w:val="1"/>
          <w:iCs w:val="1"/>
          <w:color w:val="auto"/>
        </w:rPr>
        <w:t>Growth</w:t>
      </w:r>
      <w:r>
        <w:rPr>
          <w:rFonts w:ascii="Times New Roman" w:cs="Times New Roman" w:eastAsia="Times New Roman" w:hAnsi="Times New Roman"/>
          <w:sz w:val="18"/>
          <w:szCs w:val="18"/>
          <w:color w:val="auto"/>
        </w:rPr>
        <w:t xml:space="preserve"> plan as well as additional robust features such as advanced data governance, custom user permissions and roles, automated insights, and more. At any point, a customer that needs additional capabilities can purchase add-on functionality or products, which are natively integrated with Amplitude Analytics.</w:t>
      </w:r>
    </w:p>
    <w:p>
      <w:pPr>
        <w:spacing w:after="0" w:line="18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land-and-expand business model is powered by the ease of use, rapid time to value, and broad applicability of our platform to provide actionable insights in real time to numerous teams across an organization. This model has enabled us, in many cases, to significantly expand the reach of our platform within organizations.</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2022, we had 480 customers that each represented greater than $100,000 in ARR and 30 customers that each represented greater than $1 million in ARR, demonstrating the mission critical nature of our platform to help customers succeed in the new digital age. In comparison, we had 385 customers that each represented greater than $100,000 in ARR and 29 customers that each represented greater than $1 million in ARR for the years ended December 31, 2021. Customers that each represented greater than $100,000 in ARR accounted for approximately 75% and 73% of our total ARR as of December 31, 2022 and 2021, respectively. We define ARR as the annual recurring revenue of subscription agreements, including certain premium professional services that are subject to contractual subscription terms, at a point in time based on the terms of customers’ contracts. ARR should be viewed independently of revenue, and does not represent our U.S. GAAP revenue on an annualized basis, as it is an operating metric that can be impacted by contract start and end dates and renewal rates. No single customer accounted for more than 4% of our revenue in the years ended December 31, 2022 and 2021.</w:t>
      </w:r>
    </w:p>
    <w:p>
      <w:pPr>
        <w:spacing w:after="0" w:line="18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ability to expand within our customer base is also demonstrated by our strong dollar-based net retention rate. As of December 31, 2022 and 2021, our dollar-based net retention rate across paying customers was 119% and 123%,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and 2021, we had 1,994 and 1,597 paying customers, respectively, representing an increase of 25% year-over-year. As of December 31, 2022 and 2021, 28 and 26 of the Fortune 100 were paying customers, respectively, which demonstrates both our traction to date as well as our significant opportunity to continue to penetrate into the largest global organizations. Our relationship with some of the world’s most beloved product-led companies has resulted in increased brand credibility and access to many attractive growth opportunities.</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been successful at efficiently growing our customer spend over time as evidenced by our dollar-based net retention rates. As of December 31, 2022 and 2021, our dollar-based net retention rate was 119% and 123%, respectively, for paying customers. We continue to increase the number of customers who have entered and grown into larger subscriptions with us. As of December 31, 2022 and 2021, we had 480 and 385 customers, respectively, that each represented greater than $100,000 in ARR, representing a 25% increase year-over-year. Additionally, we had 30 and 29 customers, respectively, that each represented greater than $1 million in ARR, up 3% year-over-year. The number of customers representing greater than $100,000 and $1 million in ARR demonstrates the strategic importance of our platform and our ability to both initially land significant accounts and grow them over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Platform</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0" w:name="page51"/>
    <w:bookmarkEnd w:id="50"/>
    <w:p>
      <w:pPr>
        <w:ind w:right="80"/>
        <w:spacing w:after="0" w:line="261" w:lineRule="auto"/>
        <w:rPr>
          <w:sz w:val="20"/>
          <w:szCs w:val="20"/>
          <w:color w:val="auto"/>
        </w:rPr>
      </w:pPr>
      <w:r>
        <w:rPr>
          <w:rFonts w:ascii="Times New Roman" w:cs="Times New Roman" w:eastAsia="Times New Roman" w:hAnsi="Times New Roman"/>
          <w:sz w:val="18"/>
          <w:szCs w:val="18"/>
          <w:color w:val="auto"/>
        </w:rPr>
        <w:t>and offerings or enhance our platform capabilities through acquisitions. In 2020, we acquired ClearBrain to bolster our predictive analytics capabilities, and in 2021, we acquired Iteratively, a software company that bolsters our ability to empower developers to more quickly, easily, and accurately instrument data into our platform. Going forward, we may pursue both strategic partnerships and acquisitions that we believe will be complementary to our business, accelerate customer acquisition, increase usage of our platform, and/or expand our product offerings in our core markets.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for Growth</w:t>
      </w:r>
    </w:p>
    <w:p>
      <w:pPr>
        <w:spacing w:after="0" w:line="121"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Our investment for growth encompasses multiple critical areas, including product expansion, our sales force, sales support, partner ecosystem, and our international presence. We continue to evolve our technology to ensure that we are best serving our customers’ needs. We believe this will lead to continued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talent will continue to be critical to our long-term success. As we continue to invest in our platform, we expect our research and development expenses to continue to increase in dollar amount, and although we believe these expenses as a percentage of revenue will decrease over the longer term, we expect that these expenses as a percentage of revenue will increase in the short term as we invest in product innovation.</w:t>
      </w:r>
    </w:p>
    <w:p>
      <w:pPr>
        <w:spacing w:after="0" w:line="19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will continue to invest in expanding our sales force and associated sales support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continue to increase in dollar amount, and although we believe these expenses as a percentage of revenue will decrease over the longer term, we expect these expenses as a percentage of revenue will increase in the short term as we invest in sales growth.</w:t>
      </w:r>
    </w:p>
    <w:p>
      <w:pPr>
        <w:spacing w:after="0" w:line="18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Finally, we see opportunities to expand offices and headcount internationally to better service targeted international markets where we believe we have significant opportunity to accelerate existing traction and success. For the years ended December 31, 2022 and 2021, 38% and 36% of our revenue was generated outside the United States, respectively. As we seek to expand our business globally, we may be adversely affected by global economic and political instability. For example, as a result of the Russia-Ukraine war, we terminated certain relationships with customers in Russia and some of the businesses of our customers in the impacted regions have experienced disruptions that have affected their ability to pay for our services. See “Risk Factors– Risks Related to Our Business and Industry–Our operations are international in scope, and we plan further geographical expansion, creating a variety of operational challenges.”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674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1"/>
        </w:trPr>
        <w:tc>
          <w:tcPr>
            <w:tcW w:w="67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c>
          <w:tcPr>
            <w:tcW w:w="1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YoY Growth</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Paying Customers</w:t>
            </w:r>
          </w:p>
        </w:tc>
        <w:tc>
          <w:tcPr>
            <w:tcW w:w="9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6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Dollar-Based Net Retention Rate</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119 %</w:t>
            </w:r>
          </w:p>
        </w:tc>
        <w:tc>
          <w:tcPr>
            <w:tcW w:w="4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Paying Customers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believe our ability to grow the number of paying customers on our platform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5" w:right="2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calculate our dollar-based net retention rate to measure our ability to retain and expand ARR from our customers and believe it is an indicator of the value our platform delivers to customers and our future business opportunities. Our dollar-based net retention rate compares our ARR from the same set of customers across comparable periods and reflects customer renewals, expansion, contraction, and attrition. We define ARR as the annual recurring revenue of subscription agreements, including certain premium professional services that are subject to contractual subscription terms, at a point in time based on the terms of customers’ contracts. ARR should be viewed independently of revenue, and does not represent our U.S. GAAP revenue on an annualized basis, as it is an operating metric that can be impacted by contract start and end dates and renewal rates.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dollar-based net retention rate.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Response to COVID-19</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7"/>
          <w:szCs w:val="17"/>
          <w:color w:val="auto"/>
        </w:rPr>
        <w:t>The COVID-19 pandemic has had an adverse effect on the global economy, including the businesses of many of our customers and prospective customers and did, in the early stages of the pandemic, result in increased attrition from our smaller customers and those customers in the most impacted industries such as travel and entertainment. Overall, however, the COVID-19 pandemic resulted in favorable trends for our business and the businesses of those customers who have been able to leverage digital analytics of their products as sales increasingly shifted online, but such trends have normalized.</w:t>
      </w:r>
    </w:p>
    <w:p>
      <w:pPr>
        <w:spacing w:after="0" w:line="164"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Although we believe the COVID-19 pandemic has largely resulted in favorable trends for our business to date, we have experienced business disruptions, including requiring us to manage a significant majority of our workforce remotely and restrictions on our ability to travel to customers. Moreover, our existing and prospective customers have experienced and may continue to experience slowdowns in their businesses, including due to ongoing worldwide supply chain disruptions, which in turn has and may result in reduced demand for our platform, lengthening of sales cycles, loss of customers, and difficulties in collections. In addition, the pandemic resulted in, and may in the future result in, significant disruption of global financial markets, which could limit our or our customers' ability to access capital on favorable terms or at all. The ongoing impact of the pandemic on our future business, financial condition, and results of operations depends on the pandemic’s duration and severity, which are difficult to assess or predict. See “Risk Factors” included under Part I, Item 1A of this Annual Report on Form 10-K for further discussion of the impact of the COVID-19 pandemic on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18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following Non-GAAP Financial Measures and related Non-GAAP reconciliations are for the year ended December 31, 2022, compared to the same period in 2021, unless otherwise stated. Non-GAAP Financial Measures and related Non-GAAP reconciliations for the year ended December 31, 2021 compared to the year ended December 31, 2020 may be found in the section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ind w:right="200"/>
        <w:spacing w:after="0" w:line="282" w:lineRule="auto"/>
        <w:rPr>
          <w:sz w:val="20"/>
          <w:szCs w:val="20"/>
          <w:color w:val="auto"/>
        </w:rPr>
      </w:pPr>
      <w:r>
        <w:rPr>
          <w:rFonts w:ascii="Times New Roman" w:cs="Times New Roman" w:eastAsia="Times New Roman" w:hAnsi="Times New Roman"/>
          <w:sz w:val="18"/>
          <w:szCs w:val="18"/>
          <w:color w:val="auto"/>
        </w:rPr>
        <w:t>titled “Management’s Discussion and Analysis of Financial Condition and Results of Operations” in our Annual Report on Form 10-K for the fiscal year ended December 31, 2021, filed with the SEC on February 17, 2022.</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6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167,625</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115,497</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176,110</w:t>
            </w:r>
          </w:p>
        </w:tc>
        <w:tc>
          <w:tcPr>
            <w:tcW w:w="24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8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70 %</w:t>
            </w:r>
          </w:p>
        </w:tc>
        <w:tc>
          <w:tcPr>
            <w:tcW w:w="460" w:type="dxa"/>
            <w:vAlign w:val="bottom"/>
          </w:tcPr>
          <w:p>
            <w:pPr>
              <w:spacing w:after="0"/>
              <w:rPr>
                <w:sz w:val="24"/>
                <w:szCs w:val="2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r>
      <w:tr>
        <w:trPr>
          <w:trHeight w:val="24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3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460" w:type="dxa"/>
            <w:vAlign w:val="bottom"/>
          </w:tcPr>
          <w:p>
            <w:pPr>
              <w:spacing w:after="0"/>
              <w:rPr>
                <w:sz w:val="21"/>
                <w:szCs w:val="21"/>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71 %</w:t>
            </w:r>
          </w:p>
        </w:tc>
      </w:tr>
      <w:tr>
        <w:trPr>
          <w:trHeight w:val="257"/>
        </w:trPr>
        <w:tc>
          <w:tcPr>
            <w:tcW w:w="6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r>
      <w:tr>
        <w:trPr>
          <w:trHeight w:val="24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(96,562 )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(74,149 )</w:t>
            </w:r>
          </w:p>
        </w:tc>
        <w:tc>
          <w:tcPr>
            <w:tcW w:w="120" w:type="dxa"/>
            <w:vAlign w:val="bottom"/>
          </w:tcPr>
          <w:p>
            <w:pPr>
              <w:spacing w:after="0"/>
              <w:rPr>
                <w:sz w:val="21"/>
                <w:szCs w:val="21"/>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(26,248 )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(14,640 )</w:t>
            </w:r>
          </w:p>
        </w:tc>
        <w:tc>
          <w:tcPr>
            <w:tcW w:w="120" w:type="dxa"/>
            <w:vAlign w:val="bottom"/>
          </w:tcPr>
          <w:p>
            <w:pPr>
              <w:spacing w:after="0"/>
              <w:rPr>
                <w:sz w:val="20"/>
                <w:szCs w:val="20"/>
                <w:color w:val="auto"/>
              </w:rPr>
            </w:pPr>
          </w:p>
        </w:tc>
      </w:tr>
      <w:tr>
        <w:trPr>
          <w:trHeight w:val="48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Margin</w:t>
            </w:r>
          </w:p>
        </w:tc>
        <w:tc>
          <w:tcPr>
            <w:tcW w:w="32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4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Non-GAAP Loss from Operations Margin</w:t>
            </w:r>
          </w:p>
        </w:tc>
        <w:tc>
          <w:tcPr>
            <w:tcW w:w="32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4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56"/>
        </w:trPr>
        <w:tc>
          <w:tcPr>
            <w:tcW w:w="6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r>
      <w:tr>
        <w:trPr>
          <w:trHeight w:val="24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(5,384 )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(31,713 )</w:t>
            </w:r>
          </w:p>
        </w:tc>
        <w:tc>
          <w:tcPr>
            <w:tcW w:w="120" w:type="dxa"/>
            <w:vAlign w:val="bottom"/>
          </w:tcPr>
          <w:p>
            <w:pPr>
              <w:spacing w:after="0"/>
              <w:rPr>
                <w:sz w:val="21"/>
                <w:szCs w:val="21"/>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(11,193 )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(34,935 )</w:t>
            </w:r>
          </w:p>
        </w:tc>
        <w:tc>
          <w:tcPr>
            <w:tcW w:w="120" w:type="dxa"/>
            <w:vAlign w:val="bottom"/>
          </w:tcPr>
          <w:p>
            <w:pPr>
              <w:spacing w:after="0"/>
              <w:rPr>
                <w:sz w:val="20"/>
                <w:szCs w:val="20"/>
                <w:color w:val="auto"/>
              </w:rPr>
            </w:pPr>
          </w:p>
        </w:tc>
      </w:tr>
      <w:tr>
        <w:trPr>
          <w:trHeight w:val="48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 Margin</w:t>
            </w:r>
          </w:p>
        </w:tc>
        <w:tc>
          <w:tcPr>
            <w:tcW w:w="32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4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Margin</w:t>
            </w:r>
          </w:p>
        </w:tc>
        <w:tc>
          <w:tcPr>
            <w:tcW w:w="32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-2150745</wp:posOffset>
            </wp:positionV>
            <wp:extent cx="641223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-1224915</wp:posOffset>
            </wp:positionV>
            <wp:extent cx="641223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Non-GAAP Gross Margin, Non-GAAP Loss from Operations, and Non-GAAP Loss from Operations Margin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such as costs related to the listing of our Class A common stock on the Nasdaq Capital Market (the “Direct Listing”). Non-GAAP gross margin is calculated as non-GAAP gross profit divided by total revenue.</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define non-GAAP loss from operations and non-GAAP loss from operations margin as U.S. GAAP loss from operations and U.S. GAAP loss from operations margin, respectively, excluding stock-based compensation expense and related employer payroll taxes, amortization of acquired intangible assets, and non-recurring costs, such as Direct Listing costs. Non-GAAP loss from operations margin is calculated as non-GAAP loss from operations divided by total revenue.</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18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use non-GAAP gross margin and non-GAAP loss from operations margin in conjunction with traditional U.S. GAAP measures to evaluate our financial performance. We believe that non-GAAP gross margin and non-GAAP loss from operations margin provide our management and investors consistency and comparability with our past financial performance and facilitates period-to-period comparisons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define free cash flow as net cash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and Reconciliations of Non-GAAP Financial Measures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U.S. GAAP financial measure to each of these non-GAAP financial measures.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Gross Margin</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0"/>
        </w:trPr>
        <w:tc>
          <w:tcPr>
            <w:tcW w:w="5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167,625</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94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176,110</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3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74 %</w:t>
            </w:r>
          </w:p>
        </w:tc>
        <w:tc>
          <w:tcPr>
            <w:tcW w:w="4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r>
    </w:tbl>
    <w:p>
      <w:pPr>
        <w:spacing w:after="0" w:line="134"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expense-related charges include employer payroll tax-related expenses on employee stock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-95885</wp:posOffset>
            </wp:positionV>
            <wp:extent cx="9340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Loss From Operations and Loss From Operations Margin</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0"/>
        </w:trPr>
        <w:tc>
          <w:tcPr>
            <w:tcW w:w="5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3"/>
        </w:trPr>
        <w:tc>
          <w:tcPr>
            <w:tcW w:w="580" w:type="dxa"/>
            <w:vAlign w:val="bottom"/>
          </w:tcPr>
          <w:p>
            <w:pPr>
              <w:spacing w:after="0"/>
              <w:rPr>
                <w:sz w:val="22"/>
                <w:szCs w:val="22"/>
                <w:color w:val="auto"/>
              </w:rPr>
            </w:pPr>
          </w:p>
        </w:tc>
        <w:tc>
          <w:tcPr>
            <w:tcW w:w="68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0"/>
        </w:trPr>
        <w:tc>
          <w:tcPr>
            <w:tcW w:w="580" w:type="dxa"/>
            <w:vAlign w:val="bottom"/>
          </w:tcPr>
          <w:p>
            <w:pPr>
              <w:spacing w:after="0"/>
              <w:rPr>
                <w:sz w:val="23"/>
                <w:szCs w:val="23"/>
                <w:color w:val="auto"/>
              </w:rPr>
            </w:pPr>
          </w:p>
        </w:tc>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6"/>
              </w:rPr>
              <w:t>(96,562 )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(74,149 )</w:t>
            </w:r>
          </w:p>
        </w:tc>
        <w:tc>
          <w:tcPr>
            <w:tcW w:w="120" w:type="dxa"/>
            <w:vAlign w:val="bottom"/>
          </w:tcPr>
          <w:p>
            <w:pPr>
              <w:spacing w:after="0"/>
              <w:rPr>
                <w:sz w:val="23"/>
                <w:szCs w:val="23"/>
                <w:color w:val="auto"/>
              </w:rPr>
            </w:pPr>
          </w:p>
        </w:tc>
      </w:tr>
      <w:tr>
        <w:trPr>
          <w:trHeight w:val="234"/>
        </w:trPr>
        <w:tc>
          <w:tcPr>
            <w:tcW w:w="580" w:type="dxa"/>
            <w:vAlign w:val="bottom"/>
          </w:tcPr>
          <w:p>
            <w:pPr>
              <w:spacing w:after="0"/>
              <w:rPr>
                <w:sz w:val="20"/>
                <w:szCs w:val="20"/>
                <w:color w:val="auto"/>
              </w:rPr>
            </w:pPr>
          </w:p>
        </w:tc>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
        </w:trPr>
        <w:tc>
          <w:tcPr>
            <w:tcW w:w="580" w:type="dxa"/>
            <w:vAlign w:val="bottom"/>
          </w:tcPr>
          <w:p>
            <w:pPr>
              <w:spacing w:after="0"/>
              <w:rPr>
                <w:sz w:val="3"/>
                <w:szCs w:val="3"/>
                <w:color w:val="auto"/>
              </w:rPr>
            </w:pPr>
          </w:p>
        </w:tc>
        <w:tc>
          <w:tcPr>
            <w:tcW w:w="6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0"/>
        </w:trPr>
        <w:tc>
          <w:tcPr>
            <w:tcW w:w="580" w:type="dxa"/>
            <w:vAlign w:val="bottom"/>
          </w:tcPr>
          <w:p>
            <w:pPr>
              <w:spacing w:after="0"/>
              <w:rPr>
                <w:sz w:val="23"/>
                <w:szCs w:val="23"/>
                <w:color w:val="auto"/>
              </w:rPr>
            </w:pPr>
          </w:p>
        </w:tc>
        <w:tc>
          <w:tcPr>
            <w:tcW w:w="6820" w:type="dxa"/>
            <w:vAlign w:val="bottom"/>
            <w:shd w:val="clear" w:color="auto" w:fill="CFF0FC"/>
          </w:tcPr>
          <w:p>
            <w:pPr>
              <w:spacing w:after="0" w:line="27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68,297</w:t>
            </w:r>
          </w:p>
        </w:tc>
        <w:tc>
          <w:tcPr>
            <w:tcW w:w="200" w:type="dxa"/>
            <w:vAlign w:val="bottom"/>
            <w:shd w:val="clear" w:color="auto" w:fill="CFF0FC"/>
          </w:tcPr>
          <w:p>
            <w:pPr>
              <w:spacing w:after="0"/>
              <w:rPr>
                <w:sz w:val="23"/>
                <w:szCs w:val="23"/>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39,667</w:t>
            </w:r>
          </w:p>
        </w:tc>
        <w:tc>
          <w:tcPr>
            <w:tcW w:w="100" w:type="dxa"/>
            <w:vAlign w:val="bottom"/>
            <w:shd w:val="clear" w:color="auto" w:fill="CFF0FC"/>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580" w:type="dxa"/>
            <w:vAlign w:val="bottom"/>
          </w:tcPr>
          <w:p>
            <w:pPr>
              <w:spacing w:after="0"/>
              <w:rPr>
                <w:sz w:val="22"/>
                <w:szCs w:val="22"/>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7"/>
        </w:trPr>
        <w:tc>
          <w:tcPr>
            <w:tcW w:w="580" w:type="dxa"/>
            <w:vAlign w:val="bottom"/>
          </w:tcPr>
          <w:p>
            <w:pPr>
              <w:spacing w:after="0"/>
              <w:rPr>
                <w:sz w:val="24"/>
                <w:szCs w:val="24"/>
                <w:color w:val="auto"/>
              </w:rPr>
            </w:pPr>
          </w:p>
        </w:tc>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listing expenses</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100" w:type="dxa"/>
            <w:vAlign w:val="bottom"/>
            <w:shd w:val="clear" w:color="auto" w:fill="CFF0FC"/>
          </w:tcPr>
          <w:p>
            <w:pPr>
              <w:spacing w:after="0"/>
              <w:rPr>
                <w:sz w:val="24"/>
                <w:szCs w:val="24"/>
                <w:color w:val="auto"/>
              </w:rPr>
            </w:pPr>
          </w:p>
        </w:tc>
        <w:tc>
          <w:tcPr>
            <w:tcW w:w="120" w:type="dxa"/>
            <w:vAlign w:val="bottom"/>
          </w:tcPr>
          <w:p>
            <w:pPr>
              <w:spacing w:after="0"/>
              <w:rPr>
                <w:sz w:val="24"/>
                <w:szCs w:val="24"/>
                <w:color w:val="auto"/>
              </w:rPr>
            </w:pPr>
          </w:p>
        </w:tc>
      </w:tr>
      <w:tr>
        <w:trPr>
          <w:trHeight w:val="257"/>
        </w:trPr>
        <w:tc>
          <w:tcPr>
            <w:tcW w:w="580" w:type="dxa"/>
            <w:vAlign w:val="bottom"/>
          </w:tcPr>
          <w:p>
            <w:pPr>
              <w:spacing w:after="0"/>
              <w:rPr>
                <w:sz w:val="22"/>
                <w:szCs w:val="22"/>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(26,248 )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(14,640 )</w:t>
            </w:r>
          </w:p>
        </w:tc>
        <w:tc>
          <w:tcPr>
            <w:tcW w:w="120" w:type="dxa"/>
            <w:vAlign w:val="bottom"/>
          </w:tcPr>
          <w:p>
            <w:pPr>
              <w:spacing w:after="0"/>
              <w:rPr>
                <w:sz w:val="22"/>
                <w:szCs w:val="22"/>
                <w:color w:val="auto"/>
              </w:rPr>
            </w:pPr>
          </w:p>
        </w:tc>
      </w:tr>
      <w:tr>
        <w:trPr>
          <w:trHeight w:val="270"/>
        </w:trPr>
        <w:tc>
          <w:tcPr>
            <w:tcW w:w="580" w:type="dxa"/>
            <w:vAlign w:val="bottom"/>
          </w:tcPr>
          <w:p>
            <w:pPr>
              <w:spacing w:after="0"/>
              <w:rPr>
                <w:sz w:val="23"/>
                <w:szCs w:val="23"/>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Non-GAAP Loss from Operations Margin</w:t>
            </w:r>
          </w:p>
        </w:tc>
        <w:tc>
          <w:tcPr>
            <w:tcW w:w="940" w:type="dxa"/>
            <w:vAlign w:val="bottom"/>
          </w:tcPr>
          <w:p>
            <w:pPr>
              <w:spacing w:after="0"/>
              <w:rPr>
                <w:sz w:val="23"/>
                <w:szCs w:val="23"/>
                <w:color w:val="auto"/>
              </w:rPr>
            </w:pPr>
          </w:p>
        </w:tc>
        <w:tc>
          <w:tcPr>
            <w:tcW w:w="12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(11 )%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-162560</wp:posOffset>
            </wp:positionV>
            <wp:extent cx="641223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2230" cy="17145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102870</wp:posOffset>
            </wp:positionV>
            <wp:extent cx="9340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87" w:lineRule="exact"/>
        <w:rPr>
          <w:sz w:val="20"/>
          <w:szCs w:val="20"/>
          <w:color w:val="auto"/>
        </w:rPr>
      </w:pPr>
    </w:p>
    <w:p>
      <w:pPr>
        <w:ind w:left="380" w:hanging="372"/>
        <w:spacing w:after="0"/>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expense-related charges include employer payroll tax-related expenses on employee stock transactions.</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580" w:type="dxa"/>
            <w:vAlign w:val="bottom"/>
          </w:tcPr>
          <w:p>
            <w:pPr>
              <w:spacing w:after="0"/>
              <w:rPr>
                <w:sz w:val="22"/>
                <w:szCs w:val="22"/>
                <w:color w:val="auto"/>
              </w:rPr>
            </w:pPr>
          </w:p>
        </w:tc>
        <w:tc>
          <w:tcPr>
            <w:tcW w:w="68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2"/>
                <w:szCs w:val="22"/>
                <w:color w:val="auto"/>
              </w:rPr>
            </w:pPr>
          </w:p>
        </w:tc>
      </w:tr>
      <w:tr>
        <w:trPr>
          <w:trHeight w:val="270"/>
        </w:trPr>
        <w:tc>
          <w:tcPr>
            <w:tcW w:w="580" w:type="dxa"/>
            <w:vAlign w:val="bottom"/>
          </w:tcPr>
          <w:p>
            <w:pPr>
              <w:spacing w:after="0"/>
              <w:rPr>
                <w:sz w:val="23"/>
                <w:szCs w:val="23"/>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(89,393 )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(1,498 )</w:t>
            </w:r>
          </w:p>
        </w:tc>
      </w:tr>
      <w:tr>
        <w:trPr>
          <w:trHeight w:val="263"/>
        </w:trPr>
        <w:tc>
          <w:tcPr>
            <w:tcW w:w="580" w:type="dxa"/>
            <w:vAlign w:val="bottom"/>
          </w:tcPr>
          <w:p>
            <w:pPr>
              <w:spacing w:after="0"/>
              <w:rPr>
                <w:sz w:val="22"/>
                <w:szCs w:val="2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222,643</w:t>
            </w:r>
          </w:p>
        </w:tc>
        <w:tc>
          <w:tcPr>
            <w:tcW w:w="100" w:type="dxa"/>
            <w:vAlign w:val="bottom"/>
          </w:tcPr>
          <w:p>
            <w:pPr>
              <w:spacing w:after="0"/>
              <w:rPr>
                <w:sz w:val="22"/>
                <w:szCs w:val="22"/>
                <w:color w:val="auto"/>
              </w:rPr>
            </w:pPr>
          </w:p>
        </w:tc>
      </w:tr>
      <w:tr>
        <w:trPr>
          <w:trHeight w:val="277"/>
        </w:trPr>
        <w:tc>
          <w:tcPr>
            <w:tcW w:w="580" w:type="dxa"/>
            <w:vAlign w:val="bottom"/>
          </w:tcPr>
          <w:p>
            <w:pPr>
              <w:spacing w:after="0"/>
              <w:rPr>
                <w:sz w:val="24"/>
                <w:szCs w:val="24"/>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(5,384 )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(31,713 )</w:t>
            </w:r>
          </w:p>
        </w:tc>
      </w:tr>
      <w:tr>
        <w:trPr>
          <w:trHeight w:val="234"/>
        </w:trPr>
        <w:tc>
          <w:tcPr>
            <w:tcW w:w="580" w:type="dxa"/>
            <w:vAlign w:val="bottom"/>
          </w:tcPr>
          <w:p>
            <w:pPr>
              <w:spacing w:after="0"/>
              <w:rPr>
                <w:sz w:val="20"/>
                <w:szCs w:val="20"/>
                <w:color w:val="auto"/>
              </w:rPr>
            </w:pPr>
          </w:p>
        </w:tc>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580" w:type="dxa"/>
            <w:vAlign w:val="bottom"/>
          </w:tcPr>
          <w:p>
            <w:pPr>
              <w:spacing w:after="0"/>
              <w:rPr>
                <w:sz w:val="3"/>
                <w:szCs w:val="3"/>
                <w:color w:val="auto"/>
              </w:rPr>
            </w:pPr>
          </w:p>
        </w:tc>
        <w:tc>
          <w:tcPr>
            <w:tcW w:w="6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4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270"/>
        </w:trPr>
        <w:tc>
          <w:tcPr>
            <w:tcW w:w="580" w:type="dxa"/>
            <w:vAlign w:val="bottom"/>
          </w:tcPr>
          <w:p>
            <w:pPr>
              <w:spacing w:after="0"/>
              <w:rPr>
                <w:sz w:val="23"/>
                <w:szCs w:val="23"/>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(3,632 )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(1,529 )</w:t>
            </w:r>
          </w:p>
        </w:tc>
      </w:tr>
      <w:tr>
        <w:trPr>
          <w:trHeight w:val="263"/>
        </w:trPr>
        <w:tc>
          <w:tcPr>
            <w:tcW w:w="580" w:type="dxa"/>
            <w:vAlign w:val="bottom"/>
          </w:tcPr>
          <w:p>
            <w:pPr>
              <w:spacing w:after="0"/>
              <w:rPr>
                <w:sz w:val="22"/>
                <w:szCs w:val="22"/>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(2,177 )</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(1,693 )</w:t>
            </w:r>
          </w:p>
        </w:tc>
      </w:tr>
      <w:tr>
        <w:trPr>
          <w:trHeight w:val="277"/>
        </w:trPr>
        <w:tc>
          <w:tcPr>
            <w:tcW w:w="580" w:type="dxa"/>
            <w:vAlign w:val="bottom"/>
          </w:tcPr>
          <w:p>
            <w:pPr>
              <w:spacing w:after="0"/>
              <w:rPr>
                <w:sz w:val="24"/>
                <w:szCs w:val="24"/>
                <w:color w:val="auto"/>
              </w:rPr>
            </w:pPr>
          </w:p>
        </w:tc>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(11,193 )</w:t>
            </w: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(34,935 )</w:t>
            </w:r>
          </w:p>
        </w:tc>
      </w:tr>
    </w:tbl>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Margin</w:t>
            </w:r>
          </w:p>
        </w:tc>
        <w:tc>
          <w:tcPr>
            <w:tcW w:w="4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the cost of providing our platform to our customers and consists of third-party hosting fees, personnel-related expenses for our operations and support personnel, and amortization of our capitalized internal-use software and acquired developed software. As we acquire new customers and existing customers increase their use of our platform, we expect that our cost of revenue will continue to increase in dollar amount.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As we continue to invest in our business, we expect our operating expenses to continue to increase in dollar amount, and although we believe our operating expenses as a percentage of revenue will decrease over the longer term, we expect operating expenses as a percentage of revenue will increase in the short term as we invest in product innovation and sales growth and incur additional professional services and compliance costs as we operate as a public company.</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expenses. These expenses also include product design costs prior to the application development stage, third-party services and consulting expenses, software subscriptions,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continue to increase in dollar amount but to decrease as a percentage of revenue over the longer term, although the percentage may fluctuate from quarter to quarter depending on the extent and timing of product development initiatives. In the short term, we expect research and development costs to increase as a percentage of revenue as we invest in product innovation. We also anticipate additional stock-based compensation expense in future periods due to planned increases in headcount and associated new hire grants.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although the percentage may fluctuate from quarter to quarter depending on the extent and timing of our marketing initiatives. In the short term, we expect sales and marketing costs to increase as a percentage of revenue as we invest in product sales growth. We also anticipate additional stock-based compensation expense in future periods due to planned increases in headcount and associated new hire grants.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also incurred certain expenses as part of operating as a publicly-traded company, including professional fees and other expenses. We expect to continue to incur additional expenses as a result of operating as a public company, including costs to comply with the rules and regulations applicable to companies listed on the Nasdaq Capital Market LLC and costs related to compliance and reporting obligations pursuant to the rules and regulations of the Securities and Exchange Commission. In addition, as a public company, we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 over the longer term, although the percentage may fluctuate from period to period depending on the timing and amount of our general and administrative expenses, including in the short term as we expect to incur increased compliance and professional service costs. We also anticipate additional stock-based compensation expense in future periods due to planned increases in headcount and associated new hire grants.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on our cash, cash equivalents, and marketable securities holdings offset by foreign currency transaction gains and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U.S. federal income taxes for which we provide a full valuation allowance. These deferred tax assets primarily include net operating loss carryforwards of $422.2 million and tax credit carryforwards of $9.1 million, net of reserves as of December 31, 2022, which begin expiring in 2032 and 2033, respectively. We expect to maintain this full valuation allowance in U.S. jurisdictions for the foreseeable future as it is not more likely than not the deferred tax assets will be realized based on our history of losses.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 for those periods. The period-to-period comparison of financial results is not necessarily indicative of financial results to be achieved in future periods.</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are for the year ended December 31, 2022, compared to the same period in 2021, unless otherwise stated. Discussion and analysis for the year ended December 31, 2021 compared to the year ended December 31, 2020 may be found in the section titled “Management’s Discussion and Analysis of Financial Condition and Results of Operations” in our Annual Report on Form 10-K for the fiscal year ended December 31, 2021, filed with the SEC on February 17, 2022.</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479"/>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238,067</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167,261</w:t>
            </w:r>
          </w:p>
        </w:tc>
        <w:tc>
          <w:tcPr>
            <w:tcW w:w="100" w:type="dxa"/>
            <w:vAlign w:val="bottom"/>
            <w:shd w:val="clear" w:color="auto" w:fill="CFF0FC"/>
          </w:tcPr>
          <w:p>
            <w:pPr>
              <w:spacing w:after="0"/>
              <w:rPr>
                <w:sz w:val="21"/>
                <w:szCs w:val="21"/>
                <w:color w:val="auto"/>
              </w:rPr>
            </w:pPr>
          </w:p>
        </w:tc>
      </w:tr>
      <w:tr>
        <w:trPr>
          <w:trHeight w:val="243"/>
        </w:trPr>
        <w:tc>
          <w:tcPr>
            <w:tcW w:w="69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70,442</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51,764</w:t>
            </w:r>
          </w:p>
        </w:tc>
        <w:tc>
          <w:tcPr>
            <w:tcW w:w="100" w:type="dxa"/>
            <w:vAlign w:val="bottom"/>
          </w:tcPr>
          <w:p>
            <w:pPr>
              <w:spacing w:after="0"/>
              <w:rPr>
                <w:sz w:val="21"/>
                <w:szCs w:val="21"/>
                <w:color w:val="auto"/>
              </w:rPr>
            </w:pPr>
          </w:p>
        </w:tc>
      </w:tr>
      <w:tr>
        <w:trPr>
          <w:trHeight w:val="232"/>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167,625</w:t>
            </w:r>
          </w:p>
        </w:tc>
        <w:tc>
          <w:tcPr>
            <w:tcW w:w="2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180"/>
              <w:spacing w:after="0" w:line="248"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80,589</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48,251</w:t>
            </w:r>
          </w:p>
        </w:tc>
        <w:tc>
          <w:tcPr>
            <w:tcW w:w="100" w:type="dxa"/>
            <w:vAlign w:val="bottom"/>
            <w:shd w:val="clear" w:color="auto" w:fill="CFF0FC"/>
          </w:tcPr>
          <w:p>
            <w:pPr>
              <w:spacing w:after="0"/>
              <w:rPr>
                <w:sz w:val="21"/>
                <w:szCs w:val="21"/>
                <w:color w:val="auto"/>
              </w:rPr>
            </w:pPr>
          </w:p>
        </w:tc>
      </w:tr>
      <w:tr>
        <w:trPr>
          <w:trHeight w:val="243"/>
        </w:trPr>
        <w:tc>
          <w:tcPr>
            <w:tcW w:w="690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4"/>
                <w:szCs w:val="24"/>
                <w:color w:val="auto"/>
                <w:vertAlign w:val="superscript"/>
              </w:rPr>
              <w:t>(1)</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129,962</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86,025</w:t>
            </w:r>
          </w:p>
        </w:tc>
        <w:tc>
          <w:tcPr>
            <w:tcW w:w="100" w:type="dxa"/>
            <w:vAlign w:val="bottom"/>
          </w:tcPr>
          <w:p>
            <w:pPr>
              <w:spacing w:after="0"/>
              <w:rPr>
                <w:sz w:val="21"/>
                <w:szCs w:val="21"/>
                <w:color w:val="auto"/>
              </w:rPr>
            </w:pPr>
          </w:p>
        </w:tc>
      </w:tr>
      <w:tr>
        <w:trPr>
          <w:trHeight w:val="243"/>
        </w:trPr>
        <w:tc>
          <w:tcPr>
            <w:tcW w:w="6900" w:type="dxa"/>
            <w:vAlign w:val="bottom"/>
            <w:tcBorders>
              <w:bottom w:val="single" w:sz="8" w:color="CFF0FC"/>
            </w:tcBorders>
            <w:shd w:val="clear" w:color="auto" w:fill="CFF0FC"/>
          </w:tcPr>
          <w:p>
            <w:pPr>
              <w:ind w:left="180"/>
              <w:spacing w:after="0" w:line="243"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264,187</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189,646</w:t>
            </w:r>
          </w:p>
        </w:tc>
        <w:tc>
          <w:tcPr>
            <w:tcW w:w="100" w:type="dxa"/>
            <w:vAlign w:val="bottom"/>
          </w:tcPr>
          <w:p>
            <w:pPr>
              <w:spacing w:after="0"/>
              <w:rPr>
                <w:sz w:val="20"/>
                <w:szCs w:val="20"/>
                <w:color w:val="auto"/>
              </w:rPr>
            </w:pPr>
          </w:p>
        </w:tc>
      </w:tr>
      <w:tr>
        <w:trPr>
          <w:trHeight w:val="241"/>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(96,562</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(74,149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r>
      <w:tr>
        <w:trPr>
          <w:trHeight w:val="241"/>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(92,581</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0"/>
                <w:szCs w:val="20"/>
                <w:color w:val="auto"/>
              </w:rPr>
            </w:pPr>
          </w:p>
        </w:tc>
      </w:tr>
      <w:tr>
        <w:trPr>
          <w:trHeight w:val="241"/>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(93,377</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-1584960</wp:posOffset>
            </wp:positionV>
            <wp:extent cx="6032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-1584960</wp:posOffset>
            </wp:positionV>
            <wp:extent cx="6032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-959485</wp:posOffset>
            </wp:positionV>
            <wp:extent cx="6032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-959485</wp:posOffset>
            </wp:positionV>
            <wp:extent cx="6032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06"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742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24"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533"/>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7"/>
        </w:trPr>
        <w:tc>
          <w:tcPr>
            <w:tcW w:w="580" w:type="dxa"/>
            <w:vAlign w:val="bottom"/>
          </w:tcPr>
          <w:p>
            <w:pPr>
              <w:spacing w:after="0"/>
              <w:rPr>
                <w:sz w:val="24"/>
                <w:szCs w:val="24"/>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63"/>
        </w:trPr>
        <w:tc>
          <w:tcPr>
            <w:tcW w:w="580" w:type="dxa"/>
            <w:vAlign w:val="bottom"/>
          </w:tcPr>
          <w:p>
            <w:pPr>
              <w:spacing w:after="0"/>
              <w:rPr>
                <w:sz w:val="22"/>
                <w:szCs w:val="22"/>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27,855</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7"/>
        </w:trPr>
        <w:tc>
          <w:tcPr>
            <w:tcW w:w="580" w:type="dxa"/>
            <w:vAlign w:val="bottom"/>
          </w:tcPr>
          <w:p>
            <w:pPr>
              <w:spacing w:after="0"/>
              <w:rPr>
                <w:sz w:val="24"/>
                <w:szCs w:val="24"/>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96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0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67,223</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540"/>
        </w:trPr>
        <w:tc>
          <w:tcPr>
            <w:tcW w:w="580" w:type="dxa"/>
            <w:vAlign w:val="bottom"/>
          </w:tcPr>
          <w:p>
            <w:pPr>
              <w:spacing w:after="0"/>
              <w:rPr>
                <w:sz w:val="24"/>
                <w:szCs w:val="24"/>
                <w:color w:val="auto"/>
              </w:rPr>
            </w:pPr>
          </w:p>
        </w:tc>
        <w:tc>
          <w:tcPr>
            <w:tcW w:w="3940" w:type="dxa"/>
            <w:vAlign w:val="bottom"/>
            <w:tcBorders>
              <w:top w:val="single" w:sz="8" w:color="CFF0FC"/>
            </w:tcBorders>
          </w:tcPr>
          <w:p>
            <w:pPr>
              <w:spacing w:after="0"/>
              <w:rPr>
                <w:sz w:val="24"/>
                <w:szCs w:val="24"/>
                <w:color w:val="auto"/>
              </w:rPr>
            </w:pPr>
          </w:p>
        </w:tc>
        <w:tc>
          <w:tcPr>
            <w:tcW w:w="2960" w:type="dxa"/>
            <w:vAlign w:val="bottom"/>
            <w:tcBorders>
              <w:top w:val="single" w:sz="8" w:color="CFF0FC"/>
            </w:tcBorders>
          </w:tcPr>
          <w:p>
            <w:pPr>
              <w:jc w:val="right"/>
              <w:ind w:right="1670"/>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-436245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-436245</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consolidated statements of operations and comprehensive loss data, for each of the periods presented, as a percentage of revenue.</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0" w:type="dxa"/>
            <w:vAlign w:val="bottom"/>
            <w:gridSpan w:val="3"/>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6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0" w:type="dxa"/>
            <w:vAlign w:val="bottom"/>
            <w:gridSpan w:val="3"/>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880" w:type="dxa"/>
            <w:vAlign w:val="bottom"/>
          </w:tcPr>
          <w:p>
            <w:pPr>
              <w:spacing w:after="0"/>
              <w:rPr>
                <w:sz w:val="21"/>
                <w:szCs w:val="21"/>
                <w:color w:val="auto"/>
              </w:rPr>
            </w:pPr>
          </w:p>
        </w:tc>
        <w:tc>
          <w:tcPr>
            <w:tcW w:w="10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43"/>
        </w:trPr>
        <w:tc>
          <w:tcPr>
            <w:tcW w:w="6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0" w:type="dxa"/>
            <w:vAlign w:val="bottom"/>
            <w:gridSpan w:val="3"/>
          </w:tcPr>
          <w:p>
            <w:pPr>
              <w:spacing w:after="0"/>
              <w:rPr>
                <w:sz w:val="21"/>
                <w:szCs w:val="21"/>
                <w:color w:val="auto"/>
              </w:rPr>
            </w:pPr>
          </w:p>
        </w:tc>
      </w:tr>
      <w:tr>
        <w:trPr>
          <w:trHeight w:val="243"/>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FF0FC"/>
          </w:tcPr>
          <w:p>
            <w:pPr>
              <w:jc w:val="center"/>
              <w:ind w:left="350"/>
              <w:spacing w:after="0"/>
              <w:rPr>
                <w:sz w:val="20"/>
                <w:szCs w:val="20"/>
                <w:color w:val="auto"/>
              </w:rPr>
            </w:pPr>
            <w:r>
              <w:rPr>
                <w:rFonts w:ascii="Times New Roman" w:cs="Times New Roman" w:eastAsia="Times New Roman" w:hAnsi="Times New Roman"/>
                <w:sz w:val="18"/>
                <w:szCs w:val="18"/>
                <w:color w:val="auto"/>
                <w:w w:val="99"/>
              </w:rPr>
              <w:t>100%</w:t>
            </w:r>
          </w:p>
        </w:tc>
        <w:tc>
          <w:tcPr>
            <w:tcW w:w="2200" w:type="dxa"/>
            <w:vAlign w:val="bottom"/>
            <w:gridSpan w:val="3"/>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30%</w:t>
            </w:r>
          </w:p>
        </w:tc>
        <w:tc>
          <w:tcPr>
            <w:tcW w:w="22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20" w:type="dxa"/>
            <w:vAlign w:val="bottom"/>
            <w:tcBorders>
              <w:top w:val="single" w:sz="8" w:color="auto"/>
              <w:bottom w:val="single" w:sz="8" w:color="auto"/>
            </w:tcBorders>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6"/>
              </w:rPr>
              <w:t>70%</w:t>
            </w: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7"/>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6"/>
              </w:rPr>
              <w:t>34%</w:t>
            </w:r>
          </w:p>
        </w:tc>
        <w:tc>
          <w:tcPr>
            <w:tcW w:w="2200" w:type="dxa"/>
            <w:vAlign w:val="bottom"/>
            <w:gridSpan w:val="3"/>
            <w:shd w:val="clear" w:color="auto" w:fill="CFF0FC"/>
          </w:tcPr>
          <w:p>
            <w:pPr>
              <w:jc w:val="center"/>
              <w:ind w:left="570"/>
              <w:spacing w:after="0"/>
              <w:rPr>
                <w:sz w:val="20"/>
                <w:szCs w:val="20"/>
                <w:color w:val="auto"/>
              </w:rPr>
            </w:pPr>
            <w:r>
              <w:rPr>
                <w:rFonts w:ascii="Times New Roman" w:cs="Times New Roman" w:eastAsia="Times New Roman" w:hAnsi="Times New Roman"/>
                <w:sz w:val="18"/>
                <w:szCs w:val="18"/>
                <w:color w:val="auto"/>
              </w:rPr>
              <w:t>29%</w:t>
            </w:r>
          </w:p>
        </w:tc>
      </w:tr>
      <w:tr>
        <w:trPr>
          <w:trHeight w:val="239"/>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6"/>
              </w:rPr>
              <w:t>55%</w:t>
            </w:r>
          </w:p>
        </w:tc>
        <w:tc>
          <w:tcPr>
            <w:tcW w:w="22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6"/>
              </w:rPr>
              <w:t>23%</w:t>
            </w:r>
          </w:p>
        </w:tc>
        <w:tc>
          <w:tcPr>
            <w:tcW w:w="4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33%</w:t>
            </w:r>
          </w:p>
        </w:tc>
      </w:tr>
      <w:tr>
        <w:trPr>
          <w:trHeight w:val="23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5"/>
              </w:rPr>
              <w:t>111%</w:t>
            </w:r>
          </w:p>
        </w:tc>
        <w:tc>
          <w:tcPr>
            <w:tcW w:w="22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113%</w:t>
            </w:r>
          </w:p>
        </w:tc>
      </w:tr>
      <w:tr>
        <w:trPr>
          <w:trHeight w:val="24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tcBorders>
              <w:top w:val="single" w:sz="8" w:color="auto"/>
            </w:tcBorders>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7"/>
              </w:rPr>
              <w:t>(41)%</w:t>
            </w:r>
          </w:p>
        </w:tc>
        <w:tc>
          <w:tcPr>
            <w:tcW w:w="4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(44)%</w:t>
            </w: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2%</w:t>
            </w:r>
          </w:p>
        </w:tc>
        <w:tc>
          <w:tcPr>
            <w:tcW w:w="22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20" w:type="dxa"/>
            <w:vAlign w:val="bottom"/>
            <w:tcBorders>
              <w:top w:val="single" w:sz="8" w:color="auto"/>
            </w:tcBorders>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7"/>
              </w:rPr>
              <w:t>(39)%</w:t>
            </w:r>
          </w:p>
        </w:tc>
        <w:tc>
          <w:tcPr>
            <w:tcW w:w="4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(44)%</w:t>
            </w:r>
          </w:p>
        </w:tc>
      </w:tr>
      <w:tr>
        <w:trPr>
          <w:trHeight w:val="23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1%</w:t>
            </w:r>
          </w:p>
        </w:tc>
      </w:tr>
      <w:tr>
        <w:trPr>
          <w:trHeight w:val="24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top w:val="single" w:sz="8" w:color="auto"/>
            </w:tcBorders>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7"/>
              </w:rPr>
              <w:t>(39)%</w:t>
            </w:r>
          </w:p>
        </w:tc>
        <w:tc>
          <w:tcPr>
            <w:tcW w:w="4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-1585595</wp:posOffset>
            </wp:positionV>
            <wp:extent cx="137160"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16319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-959485</wp:posOffset>
            </wp:positionV>
            <wp:extent cx="13716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71450"/>
                    </a:xfrm>
                    <a:prstGeom prst="rect">
                      <a:avLst/>
                    </a:prstGeom>
                    <a:noFill/>
                  </pic:spPr>
                </pic:pic>
              </a:graphicData>
            </a:graphic>
          </wp:anchor>
        </w:drawing>
      </w:r>
    </w:p>
    <w:p>
      <w:pPr>
        <w:spacing w:after="0" w:line="106" w:lineRule="exact"/>
        <w:rPr>
          <w:sz w:val="20"/>
          <w:szCs w:val="20"/>
          <w:color w:val="auto"/>
        </w:rPr>
      </w:pPr>
    </w:p>
    <w:p>
      <w:pPr>
        <w:ind w:left="300" w:hanging="292"/>
        <w:spacing w:after="0"/>
        <w:tabs>
          <w:tab w:leader="none" w:pos="3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742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Certain figures may not sum due to rounding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2022 and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5"/>
        </w:trPr>
        <w:tc>
          <w:tcPr>
            <w:tcW w:w="5300" w:type="dxa"/>
            <w:vAlign w:val="bottom"/>
          </w:tcPr>
          <w:p>
            <w:pPr>
              <w:spacing w:after="0"/>
              <w:rPr>
                <w:sz w:val="21"/>
                <w:szCs w:val="21"/>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5300" w:type="dxa"/>
            <w:vAlign w:val="bottom"/>
          </w:tcPr>
          <w:p>
            <w:pPr>
              <w:spacing w:after="0"/>
              <w:rPr>
                <w:sz w:val="21"/>
                <w:szCs w:val="21"/>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2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060" w:type="dxa"/>
            <w:vAlign w:val="bottom"/>
          </w:tcPr>
          <w:p>
            <w:pPr>
              <w:spacing w:after="0"/>
              <w:rPr>
                <w:sz w:val="22"/>
                <w:szCs w:val="22"/>
                <w:color w:val="auto"/>
              </w:rPr>
            </w:pPr>
          </w:p>
        </w:tc>
      </w:tr>
      <w:tr>
        <w:trPr>
          <w:trHeight w:val="27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238,067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167,261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70,806</w:t>
            </w: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bl>
    <w:p>
      <w:pPr>
        <w:spacing w:after="0" w:line="225"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$70.8 million, or 42%, in fiscal 2022 compared to fiscal 2021. The increase in revenue was primarily due to growth of our paying customer base of 25% and revenue generated from our existing paying customers as reflected by our dollar-based net retention of 119% as of December 31, 2022.</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0"/>
        </w:trPr>
        <w:tc>
          <w:tcPr>
            <w:tcW w:w="5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8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7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100" w:type="dxa"/>
            <w:vAlign w:val="bottom"/>
          </w:tcPr>
          <w:p>
            <w:pPr>
              <w:spacing w:after="0"/>
              <w:rPr>
                <w:sz w:val="22"/>
                <w:szCs w:val="22"/>
                <w:color w:val="auto"/>
              </w:rPr>
            </w:pPr>
          </w:p>
        </w:tc>
      </w:tr>
      <w:tr>
        <w:trPr>
          <w:trHeight w:val="277"/>
        </w:trPr>
        <w:tc>
          <w:tcPr>
            <w:tcW w:w="580" w:type="dxa"/>
            <w:vAlign w:val="bottom"/>
          </w:tcPr>
          <w:p>
            <w:pPr>
              <w:spacing w:after="0"/>
              <w:rPr>
                <w:sz w:val="24"/>
                <w:szCs w:val="24"/>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70,442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51,764</w:t>
            </w:r>
          </w:p>
        </w:tc>
        <w:tc>
          <w:tcPr>
            <w:tcW w:w="22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200" w:type="dxa"/>
            <w:vAlign w:val="bottom"/>
            <w:shd w:val="clear" w:color="auto" w:fill="CFF0FC"/>
          </w:tcPr>
          <w:p>
            <w:pPr>
              <w:spacing w:after="0"/>
              <w:rPr>
                <w:sz w:val="24"/>
                <w:szCs w:val="24"/>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36%</w:t>
            </w:r>
          </w:p>
        </w:tc>
      </w:tr>
      <w:tr>
        <w:trPr>
          <w:trHeight w:val="256"/>
        </w:trPr>
        <w:tc>
          <w:tcPr>
            <w:tcW w:w="580" w:type="dxa"/>
            <w:vAlign w:val="bottom"/>
          </w:tcPr>
          <w:p>
            <w:pPr>
              <w:spacing w:after="0"/>
              <w:rPr>
                <w:sz w:val="22"/>
                <w:szCs w:val="22"/>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34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22"/>
                <w:szCs w:val="2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23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Cost of revenue increased $18.7 million, or 36%, in fiscal 2022 compared to fiscal 2021. The increase was primarily due to an increase of $9.2 million in personnel-related expenses directly associated with an increase in headcount, including an increase in allocated overhead costs, and $8.5 million in third-party hosting costs as we increased capacity to support paying customer usage and growth of our paying customer base. Additionally, cost of revenue increased by $1.0 million due to the amortization of acquired intangibles assets related to our business combinations and amortization of internal-use software costs.</w:t>
      </w:r>
    </w:p>
    <w:p>
      <w:pPr>
        <w:spacing w:after="0" w:line="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0"/>
        </w:trPr>
        <w:tc>
          <w:tcPr>
            <w:tcW w:w="5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8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2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060" w:type="dxa"/>
            <w:vAlign w:val="bottom"/>
          </w:tcPr>
          <w:p>
            <w:pPr>
              <w:spacing w:after="0"/>
              <w:rPr>
                <w:sz w:val="22"/>
                <w:szCs w:val="22"/>
                <w:color w:val="auto"/>
              </w:rPr>
            </w:pPr>
          </w:p>
        </w:tc>
      </w:tr>
      <w:tr>
        <w:trPr>
          <w:trHeight w:val="277"/>
        </w:trPr>
        <w:tc>
          <w:tcPr>
            <w:tcW w:w="580" w:type="dxa"/>
            <w:vAlign w:val="bottom"/>
          </w:tcPr>
          <w:p>
            <w:pPr>
              <w:spacing w:after="0"/>
              <w:rPr>
                <w:sz w:val="24"/>
                <w:szCs w:val="2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80,589</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48,251</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32,338</w:t>
            </w: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67%</w:t>
            </w:r>
          </w:p>
        </w:tc>
      </w:tr>
      <w:tr>
        <w:trPr>
          <w:trHeight w:val="263"/>
        </w:trPr>
        <w:tc>
          <w:tcPr>
            <w:tcW w:w="58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86,025</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43,937</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580" w:type="dxa"/>
            <w:vAlign w:val="bottom"/>
          </w:tcPr>
          <w:p>
            <w:pPr>
              <w:spacing w:after="0"/>
              <w:rPr>
                <w:sz w:val="22"/>
                <w:szCs w:val="22"/>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55,370</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(1,734 )</w:t>
            </w:r>
          </w:p>
        </w:tc>
        <w:tc>
          <w:tcPr>
            <w:tcW w:w="80" w:type="dxa"/>
            <w:vAlign w:val="bottom"/>
            <w:shd w:val="clear" w:color="auto" w:fill="CFF0FC"/>
          </w:tcPr>
          <w:p>
            <w:pPr>
              <w:spacing w:after="0"/>
              <w:rPr>
                <w:sz w:val="22"/>
                <w:szCs w:val="22"/>
                <w:color w:val="auto"/>
              </w:rPr>
            </w:pPr>
          </w:p>
        </w:tc>
        <w:tc>
          <w:tcPr>
            <w:tcW w:w="106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99"/>
              </w:rPr>
              <w:t>(3%)</w:t>
            </w:r>
          </w:p>
        </w:tc>
      </w:tr>
      <w:tr>
        <w:trPr>
          <w:trHeight w:val="250"/>
        </w:trPr>
        <w:tc>
          <w:tcPr>
            <w:tcW w:w="580" w:type="dxa"/>
            <w:vAlign w:val="bottom"/>
          </w:tcPr>
          <w:p>
            <w:pPr>
              <w:spacing w:after="0"/>
              <w:rPr>
                <w:sz w:val="21"/>
                <w:szCs w:val="21"/>
                <w:color w:val="auto"/>
              </w:rPr>
            </w:pPr>
          </w:p>
        </w:tc>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264,187</w:t>
            </w:r>
          </w:p>
        </w:tc>
        <w:tc>
          <w:tcPr>
            <w:tcW w:w="22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189,646</w:t>
            </w:r>
          </w:p>
        </w:tc>
        <w:tc>
          <w:tcPr>
            <w:tcW w:w="200" w:type="dxa"/>
            <w:vAlign w:val="bottom"/>
            <w:tcBorders>
              <w:top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74,541</w:t>
            </w:r>
          </w:p>
        </w:tc>
        <w:tc>
          <w:tcPr>
            <w:tcW w:w="20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106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-179070</wp:posOffset>
            </wp:positionV>
            <wp:extent cx="685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-179070</wp:posOffset>
            </wp:positionV>
            <wp:extent cx="6032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-179070</wp:posOffset>
            </wp:positionV>
            <wp:extent cx="60325"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$32.3 million, or 67%, in fiscal 2022 compared to fiscal 2021. The increase was primarily due to an increase of $19.0 million in personnel-related expenses directly associated with an increase in headcount, including an increase in allocated overhead costs. The increase was also attributable to an increase of $12.0 million in stock-based compensation expense and related payroll taxes as a result of increased headcount.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$43.9 million, or 51%, in fiscal 2022 compared to fiscal 2021. The increase was primarily due to an increase of $20.5 million in personnel-related expenses directly associated with an increase in headcount, including an increase in allocated overhead costs. The increase in headcount also contributed to an increase of $3.5 million in commissions related to an expansion of our customer base, contract value of deals, and sales team. This increase was also attributable to $7.7 million in stock-based compensation expenses and related payroll taxes as a result of increased headcount. An increase of $7.6 million related to expenses to support our marketing, lead generation, and advertising programs and an increase of $1.9 million in software subscription costs contributed to the overall increase.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$1.7 million, or 3%, in fiscal 2022 compared to fiscal 2021. The decrease was primarily attributable to a $16.3 million decrease in professional services attributable to fees related to the Direct Listing that were incurred in fiscal 2021 that did not recur in fiscal 2022. The decrease was partially offset by a $4.4 million increase in stock-based compensation expenses and related payroll taxes and an increase of $3.9 million in personnel-related expenses directly associated with an increase in headcount, including an increase in allocated overhead costs. This decrease was also partially offset by an increase in corporate expenses of $3.3 million, primarily related to increased insurance costs, and an increase in subscription software costs of $2.0 million.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Income, net</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0"/>
        </w:trPr>
        <w:tc>
          <w:tcPr>
            <w:tcW w:w="5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8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2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060" w:type="dxa"/>
            <w:vAlign w:val="bottom"/>
          </w:tcPr>
          <w:p>
            <w:pPr>
              <w:spacing w:after="0"/>
              <w:rPr>
                <w:sz w:val="22"/>
                <w:szCs w:val="22"/>
                <w:color w:val="auto"/>
              </w:rPr>
            </w:pPr>
          </w:p>
        </w:tc>
      </w:tr>
      <w:tr>
        <w:trPr>
          <w:trHeight w:val="277"/>
        </w:trPr>
        <w:tc>
          <w:tcPr>
            <w:tcW w:w="580" w:type="dxa"/>
            <w:vAlign w:val="bottom"/>
          </w:tcPr>
          <w:p>
            <w:pPr>
              <w:spacing w:after="0"/>
              <w:rPr>
                <w:sz w:val="24"/>
                <w:szCs w:val="2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96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bl>
    <w:p>
      <w:pPr>
        <w:spacing w:after="0" w:line="126" w:lineRule="exact"/>
        <w:rPr>
          <w:sz w:val="20"/>
          <w:szCs w:val="20"/>
          <w:color w:val="auto"/>
        </w:rPr>
      </w:pPr>
    </w:p>
    <w:p>
      <w:pPr>
        <w:ind w:left="300" w:hanging="292"/>
        <w:spacing w:after="0"/>
        <w:tabs>
          <w:tab w:leader="none" w:pos="3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23742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5"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Other income, net increased $3.8 million, in fiscal 2022 compared to fiscal 2021. The increase was primarily related to a $3.7 million increase in interest income resulting from interest earned on our cash, cash equivalents, and the marketable securities purchased in the year ended December 31, 2022.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0"/>
        </w:trPr>
        <w:tc>
          <w:tcPr>
            <w:tcW w:w="5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5"/>
        </w:trPr>
        <w:tc>
          <w:tcPr>
            <w:tcW w:w="5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63"/>
        </w:trPr>
        <w:tc>
          <w:tcPr>
            <w:tcW w:w="58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4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040" w:type="dxa"/>
            <w:vAlign w:val="bottom"/>
          </w:tcPr>
          <w:p>
            <w:pPr>
              <w:spacing w:after="0"/>
              <w:rPr>
                <w:sz w:val="22"/>
                <w:szCs w:val="22"/>
                <w:color w:val="auto"/>
              </w:rPr>
            </w:pPr>
          </w:p>
        </w:tc>
      </w:tr>
      <w:tr>
        <w:trPr>
          <w:trHeight w:val="277"/>
        </w:trPr>
        <w:tc>
          <w:tcPr>
            <w:tcW w:w="580" w:type="dxa"/>
            <w:vAlign w:val="bottom"/>
          </w:tcPr>
          <w:p>
            <w:pPr>
              <w:spacing w:after="0"/>
              <w:rPr>
                <w:sz w:val="24"/>
                <w:szCs w:val="2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6"/>
              </w:rPr>
              <w:t>796</w:t>
            </w:r>
          </w:p>
        </w:tc>
        <w:tc>
          <w:tcPr>
            <w:tcW w:w="8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shd w:val="clear" w:color="auto" w:fill="CFF0FC"/>
          </w:tcPr>
          <w:p>
            <w:pPr>
              <w:spacing w:after="0"/>
              <w:rPr>
                <w:sz w:val="24"/>
                <w:szCs w:val="24"/>
                <w:color w:val="auto"/>
              </w:rPr>
            </w:pPr>
          </w:p>
        </w:tc>
        <w:tc>
          <w:tcPr>
            <w:tcW w:w="10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(23%)</w:t>
            </w:r>
          </w:p>
        </w:tc>
      </w:tr>
    </w:tbl>
    <w:p>
      <w:pPr>
        <w:spacing w:after="0" w:line="225"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Provision for income taxes decreased $0.2 million, or 23%, in fiscal 2022 compared to fiscal 2021, primarily due to decreased foreign taxes, including deferred tax balances.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$273.2 million as of December 31, 2022 and negative cash flows from operating activities for fiscal 2022 and fiscal 2021.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 company.</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our principal sources of liquidity were cash and cash equivalents of $218.5 million and restricted cash of $0.9 million. Additionally, a substantial source of our cash provided by operating activities is our deferred revenue, which is included on our consolidated balance sheets as a liability. Deferred revenue consists of the unearned portion of billed fees for our subscriptions, which is recorded as revenue over the term of the subscription agreement. As of December 31, 2022, we had $90.0 million of deferred revenue, all of which was recorded as a current liability. This deferred revenue will be recognized as revenue when or as the related performance obligations are met.</w:t>
      </w:r>
    </w:p>
    <w:p>
      <w:pPr>
        <w:spacing w:after="0" w:line="183"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62"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69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475"/>
        </w:trPr>
        <w:tc>
          <w:tcPr>
            <w:tcW w:w="6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(5,384 )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(31,713 )</w:t>
            </w: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(89,393 )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(1,498 )</w:t>
            </w:r>
          </w:p>
        </w:tc>
      </w:tr>
      <w:tr>
        <w:trPr>
          <w:trHeight w:val="247"/>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222,643</w:t>
            </w:r>
          </w:p>
        </w:tc>
        <w:tc>
          <w:tcPr>
            <w:tcW w:w="100" w:type="dxa"/>
            <w:vAlign w:val="bottom"/>
            <w:shd w:val="clear" w:color="auto" w:fill="CFF0FC"/>
          </w:tcPr>
          <w:p>
            <w:pPr>
              <w:spacing w:after="0"/>
              <w:rPr>
                <w:sz w:val="21"/>
                <w:szCs w:val="2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preferred stock and common stock.</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0" w:name="page61"/>
    <w:bookmarkEnd w:id="60"/>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$5.4 million for the fiscal 2022 reflects our net loss of $93.4 million, adjusted by non-cash items such as stock-based compensation expense of $67.2 million, depreciation and amortization of $4.7 million, and non-cash operating lease costs of $3.7 million as well as net cash provided by changes in our operating assets and liabilities of $12.3 million. The net cash provided by changes in operating assets and liabilities primarily consisted of a $20.7 million increase in deferred revenue, resulting from increased billings and collections for subscriptions, a net increase in accrued expenses and accounts payable of $1.7 million due to timing of payments made, and a net decrease in prepaid expenses and other current and noncurrent assets of $4.0 million. These changes were offset by an increase in deferred commissions of $8.0 million, a $2.4 million increase in accounts receivable due to higher customer billing, and a $3.6 million decrease in operating lease liabilities due to payments related to our operating lease obligations.</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of $31.7 million for fiscal 2021 reflects our net loss of $75.0 million, adjusted by non-cash items such as stock-based compensation expense of $34.4 million, and depreciation and amortization of $3.1 million, as well as net cash provided by changes in our operating assets and liabilities of $6.2 million. The net cash provided by changes in our operating assets and liabilities primarily consisted of a $28.5 million increase in deferred revenue, resulting from increased billings for subscriptions, and a $4.5 million increase in accrued expenses and accounts payable, resulting primarily from increases in accrued professional services, marketing, accrued payroll, and benefits due to an increase in the size of our operations. These increases were partially offset by a $16.7 million increase in prepaid expenses and other current and noncurrent assets related to an increase in prepayments made in advance for future services, an increase in deferred commissions of $9.2 million, and a $3.0 million increase in accounts receivable due to higher customer billings.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$89.4 million for fiscal 2022 consisted of $83.2 million of purchases of marketable securities, $2.2 million of capitalized internal-use software development costs, $3.6 million in purchases of property and equipment, and $0.4 million of cash paid for acquisitions, net of cash acquired.</w:t>
      </w:r>
    </w:p>
    <w:p>
      <w:pPr>
        <w:spacing w:after="0" w:line="17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$1.5 million for fiscal 2021 consisted of $1.7 million in capitalized internal-use software development costs and $1.5 million in purchases of property and equipment. These decreases were partially offset by $1.7 million in net cash acquired upon the acquisition of a privately-held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$5.8 million for fiscal 2022 primarily consisted of $6.9 million in proceeds from the exercise of stock options offset by $1.1 million of net cash used through sales of common stock to cover tax-related amounts that were remitted to the respective taxing jurisdictions in excess of cash received during the period. It is expected that cash received and paid for these amounts will be cash flow neutral over time.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of $222.6 million for fiscal 2021 primarily consisted of $199.8 million in net proceeds from the sale and issuance of Series F preferred stock, $21.8 million in proceeds from the exercise of stock options, and $1.1 million of net cash provided through sales of common stock to cover tax-related amounts that had not yet been remitted to the respective taxing jurisdictions. It is expected that this $1.1 million net cash received will be paid in subsequent periods and will be recorded as a financing cash outflow at such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Remaining performance obligations (“RPO”) as of December 31, 2022 and 2021, including the expected timing of recognition, is as follows: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70"/>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190,595</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137,266</w:t>
            </w:r>
          </w:p>
        </w:tc>
        <w:tc>
          <w:tcPr>
            <w:tcW w:w="1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39%</w:t>
            </w:r>
          </w:p>
        </w:tc>
      </w:tr>
      <w:tr>
        <w:trPr>
          <w:trHeight w:val="25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12 months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57,581</w:t>
            </w:r>
          </w:p>
        </w:tc>
        <w:tc>
          <w:tcPr>
            <w:tcW w:w="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32,868</w:t>
            </w:r>
          </w:p>
        </w:tc>
        <w:tc>
          <w:tcPr>
            <w:tcW w:w="15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75%</w:t>
            </w:r>
          </w:p>
        </w:tc>
      </w:tr>
      <w:tr>
        <w:trPr>
          <w:trHeight w:val="25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248,176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170,134</w:t>
            </w:r>
          </w:p>
        </w:tc>
        <w:tc>
          <w:tcPr>
            <w:tcW w:w="1520" w:type="dxa"/>
            <w:vAlign w:val="bottom"/>
            <w:tcBorders>
              <w:bottom w:val="single" w:sz="8" w:color="CFF0FC"/>
            </w:tcBorders>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96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1" w:name="page62"/>
    <w:bookmarkEnd w:id="61"/>
    <w:p>
      <w:pPr>
        <w:ind w:right="60"/>
        <w:spacing w:after="0" w:line="282" w:lineRule="auto"/>
        <w:rPr>
          <w:sz w:val="20"/>
          <w:szCs w:val="20"/>
          <w:color w:val="auto"/>
        </w:rPr>
      </w:pPr>
      <w:r>
        <w:rPr>
          <w:rFonts w:ascii="Times New Roman" w:cs="Times New Roman" w:eastAsia="Times New Roman" w:hAnsi="Times New Roman"/>
          <w:sz w:val="18"/>
          <w:szCs w:val="18"/>
          <w:color w:val="auto"/>
        </w:rPr>
        <w:t>average contract terms, and seasonality. Due to these factors, it is important to review RPO in conjunction with product revenue and other financial metrics disclosed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2024-2025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2026-2027</w:t>
            </w:r>
          </w:p>
        </w:tc>
        <w:tc>
          <w:tcPr>
            <w:tcW w:w="220" w:type="dxa"/>
            <w:vAlign w:val="bottom"/>
          </w:tcPr>
          <w:p>
            <w:pPr>
              <w:spacing w:after="0"/>
              <w:rPr>
                <w:sz w:val="21"/>
                <w:szCs w:val="21"/>
                <w:color w:val="auto"/>
              </w:rPr>
            </w:pPr>
          </w:p>
        </w:tc>
        <w:tc>
          <w:tcPr>
            <w:tcW w:w="10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After 2027</w:t>
            </w:r>
          </w:p>
        </w:tc>
        <w:tc>
          <w:tcPr>
            <w:tcW w:w="100" w:type="dxa"/>
            <w:vAlign w:val="bottom"/>
          </w:tcPr>
          <w:p>
            <w:pPr>
              <w:spacing w:after="0"/>
              <w:rPr>
                <w:sz w:val="21"/>
                <w:szCs w:val="21"/>
                <w:color w:val="auto"/>
              </w:rPr>
            </w:pPr>
          </w:p>
        </w:tc>
      </w:tr>
      <w:tr>
        <w:trPr>
          <w:trHeight w:val="263"/>
        </w:trPr>
        <w:tc>
          <w:tcPr>
            <w:tcW w:w="5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and real estate-related commitments</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4"/>
                <w:szCs w:val="24"/>
                <w:color w:val="auto"/>
              </w:rPr>
            </w:pPr>
          </w:p>
        </w:tc>
      </w:tr>
      <w:tr>
        <w:trPr>
          <w:trHeight w:val="257"/>
        </w:trPr>
        <w:tc>
          <w:tcPr>
            <w:tcW w:w="5140" w:type="dxa"/>
            <w:vAlign w:val="bottom"/>
          </w:tcPr>
          <w:p>
            <w:pPr>
              <w:ind w:left="20"/>
              <w:spacing w:after="0" w:line="257" w:lineRule="exact"/>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228,475</w:t>
            </w:r>
          </w:p>
        </w:tc>
        <w:tc>
          <w:tcPr>
            <w:tcW w:w="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64,567</w:t>
            </w: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119,575</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44,333</w:t>
            </w: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r>
      <w:tr>
        <w:trPr>
          <w:trHeight w:val="243"/>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240,156</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68,743</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126,695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44,718</w:t>
            </w: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future real estate-related non-cancellable minimum rental payments under operating leases and real estate commitments with substitution rights.</w:t>
      </w:r>
    </w:p>
    <w:p>
      <w:pPr>
        <w:spacing w:after="0" w:line="3" w:lineRule="exact"/>
        <w:rPr>
          <w:rFonts w:ascii="Times New Roman" w:cs="Times New Roman" w:eastAsia="Times New Roman" w:hAnsi="Times New Roman"/>
          <w:sz w:val="14"/>
          <w:szCs w:val="14"/>
          <w:color w:val="auto"/>
        </w:rPr>
      </w:pPr>
    </w:p>
    <w:p>
      <w:pPr>
        <w:ind w:left="380" w:hanging="372"/>
        <w:spacing w:after="0" w:line="233" w:lineRule="auto"/>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this commitment is a hosting arrangement with AWS. We entered into the 60-month contract in August 2021. The contract may be terminated by either party if the other party is in material breach of the contract and such breach remains uncured for 30 days. Pursuant to the terms of the contract, we are required to spend a minimum of $267 million over the five-year term of the contract. As of December 31, 2022, we had $227 million remaining on this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-395605</wp:posOffset>
            </wp:positionV>
            <wp:extent cx="9340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U.S. GAAP. The preparation of these financial statements requires us to make estimates and assumptions that affect the reported amounts of assets, liabilities, revenues,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critical accounting estimates, assumptions, and judgments that we believe have the most significant impact on our consolidated financial statements are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sales of subscription services. Revenue is recognized when, or as, the RPO is satisfied by transferring the control of the promised service to a customer. The amount of revenue recognized reflects the consideration that we expect to be entitled to receive in exchange for these services. We account for revenue contracts with customers by applying the requirements of ASC 606, which includes the following steps:</w:t>
      </w:r>
    </w:p>
    <w:p>
      <w:pPr>
        <w:spacing w:after="0" w:line="72"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revenue when, or as, a performance obligation is satisfied.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SaaS subscription agreements with customers enable them to access and send event volume data to our cloud-based platform. Subscription arrangements with customers do not provide the customer with the right to take possession of the Company’s software at any time. Instead, customers are granted continuous access to the platform over the contractual period. A time-elapsed method is used to measure progress because the Company’s obligation is to provide continuous service over the contractual period and control is transferred evenly over the contractual period. Accordingly, the fixed consideration related to subscription revenue is recognized ratably over the contract term beginning on the date access to the subscription product is provisioned. The typical subscription term is 12 months with various payment terms ranging from monthly to annual up-front payments. Most contracts are non-cancellable over the contractual term and are subject to standard terms and conditions; however, certain contracts contain nonstandard terms that may impact the timing of revenue recognition. Some customers have the option to purchase additional subscription services at a stated price. These options are evaluated on a case-by-case basis but generally do not provide a material right as they do not provide a discount to the customer that is incremental to the range of discounts typically given for the same services that are sold to a similar class of customers, even when the stand-alone selling price of the services subject to the option is highly variable.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Acquisition Costs (Deferred Commissions)</w:t>
      </w:r>
    </w:p>
    <w:p>
      <w:pPr>
        <w:spacing w:after="0" w:line="121"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We capitalize sales commissions that are recoverable and incremental due to the acquisition of customer contracts. We determine whether costs should be deferred based on its sales compensation plans, if the commissions are in fact incremental and would not have occurred absent the customer contract.</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Commissions paid upon the initial acquisition of a contract are deferred and then amortized on a straight-line basis over a period of benefit, determined to be five years. The period of benefit is estimated by considering factors such as the expected life of our subscription contracts, historical customer attrition rates, technological life of our platform, as well as other factors. Sales commissions for renewal of a subscription contract are not considered commensurate with the commissions paid for the acquisition of the initial subscription contract given the substantive difference in commission rates between new and renewal contracts. We determine the period of benefit for renewal subscription contracts by considering the contractual term for renewal contracts.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Amounts anticipated to be recognized within 12 months of the balance sheet date are recorded as deferred commissions, current, with the remaining portion recorded as deferred commissions, noncurrent, in the consolidated balance sheets. Amortization of deferred commissions is included in sales and marketing expense in the consolidated statements of operations and comprehensive loss. We periodically review these deferred commissions to determine whether events or changes in circumstances have occurred that could impact recoverability or the period of benefit. There were no impairment losses recorded during the periods presented.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measure and recognize compensation expense for all stock-based payment awards granted to employees, directors, and non-employees based on the estimated fair values on the date of the grant and vesting criteria. For options, vesting is typically over a four-year period and is contingent upon continued employment on each vesting date. In general, options granted to newly hired employees vest 25% after the first year of service and ratably each month over the remaining 36-month period. For RSUs, vesting is typically over a three-year period and is contingent upon continued employment on each vesting date. In general, RSUs granted to employees vest ratably each quarter over the 36-month period.</w:t>
      </w:r>
    </w:p>
    <w:p>
      <w:pPr>
        <w:spacing w:after="0" w:line="183"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fair value of options granted are estimated on the grant date. Options granted pursuant to the 2021 Incentive Award Plan (the “2021 Plan”) are valued utilizing the Black-Scholes option pricing model and options granted pursuant to the 2014 Stock Option and Grant Plan (as amended, the “2014 Plan”) are valued utilizing the Monte Carlo simulation model. The determination of the grant date fair value is affected by the estimated fair value of our common stock as well as additional assumptions regarding a number of other subjective variables. These variables include expected stock price volatility over a contractual or expected term, actual and projected employee stock option exercise behaviors, the risk-free interest rate for a contractual or expected term, and expected dividends. For assumptions utilized in each respective model, refer to Note 5 of the consolidated financial statements appearing elsewhere in this Annual Report on Form 10-K.</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recognize compensation expense for service-based stock-based awards as an expense over the employee’s or director’s requisite service period on a straight-line basis. We also have certain options and awards that have performance-based vesting conditions upon certain liquidity events. As a result of the Direct Listing, the liquidity event was met for all outstanding awards with a performance condition and therefore the related expense was recognized using the accelerated attribution method. Forfeitures are accounted for as they occur. Stock-based compensation expense is allocated to cost of revenue and operating expenses on the consolidated statements of operations based on the associated employee’s functional department.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Determining Fair Value of Stock Options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each option granted to employees under the 2021 Plan is estimated on the grant date using the Black-Scholes pricing model. Based on the nature of the underlying options granted under the 2014 Plan, the fair value of each option granted to employees is estimated on the date of grant using the Monte Carlo simulation model. The fair value of each grant of stock option was determined by us using the two methods and the respective assumptions discussed below. The determination of each of these inputs is subjective and generally requires a level of judgment.</w:t>
      </w:r>
    </w:p>
    <w:p>
      <w:pPr>
        <w:spacing w:after="0" w:line="178"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expected stock price volatility assumption was determined by examining the historical volatilities of a group of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peers over a period equal to the expected life of the options, as we did not have sufficient trading history for our common stock.</w:t>
      </w:r>
    </w:p>
    <w:p>
      <w:pPr>
        <w:spacing w:after="0" w:line="15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Contractual term (Monte Carlo) </w:t>
      </w:r>
      <w:r>
        <w:rPr>
          <w:rFonts w:ascii="Times New Roman" w:cs="Times New Roman" w:eastAsia="Times New Roman" w:hAnsi="Times New Roman"/>
          <w:sz w:val="18"/>
          <w:szCs w:val="18"/>
          <w:color w:val="auto"/>
        </w:rPr>
        <w:t>– The contractual term of stock options is used to model the expected exercise behavior of the option holders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10-year exercise period. This method utilizes a Monte Carlo simulation based on historical exercise data as the options are not considered to be "plain-vanilla" where a simplified method is allowed as certain holders have up until option expiration to exercise regardless of employment status. The Monte Carlo simulation models expected exercise behavior utilizing an estimated stock price at which the holder of the option would choose to exercise an option prior to the end of the stated term. For this assumption, we utilized a value multiple on the strike price of 4.0 times.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term (Black-Scholes) </w:t>
      </w:r>
      <w:r>
        <w:rPr>
          <w:rFonts w:ascii="Times New Roman" w:cs="Times New Roman" w:eastAsia="Times New Roman" w:hAnsi="Times New Roman"/>
          <w:sz w:val="18"/>
          <w:szCs w:val="18"/>
          <w:color w:val="auto"/>
        </w:rPr>
        <w:t>– Expected term represents the period that our stock-based awards are expected to be outstanding.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are determined based on the vesting terms, exercise terms, and contractual lives of the options. For stock options considered to be “plain-vanilla” options, we estimate the expected term based on the simplified method, which is essentially the weighted average of the vesting period and contractual term, as our historical option exercise experience does not provide a reasonable basis upon which to estimate the expected term.</w:t>
      </w:r>
    </w:p>
    <w:p>
      <w:pPr>
        <w:spacing w:after="0" w:line="180"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expected dividend assumption was based on our history and expectation that it will not declare dividend payout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 future.</w:t>
      </w:r>
    </w:p>
    <w:p>
      <w:pPr>
        <w:spacing w:after="0" w:line="158" w:lineRule="exact"/>
        <w:rPr>
          <w:sz w:val="20"/>
          <w:szCs w:val="20"/>
          <w:color w:val="auto"/>
        </w:rPr>
      </w:pPr>
    </w:p>
    <w:p>
      <w:pPr>
        <w:ind w:right="7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zero 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contractual terms.</w:t>
      </w:r>
    </w:p>
    <w:p>
      <w:pPr>
        <w:spacing w:after="0" w:line="158"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Prior to the Direct Listing, the fair value of our common stock was determined by our board of directors,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intended all options granted to be exercisable at a price per share not less than the per share fair value of common stock underlying those options on the date of grant. The valuations of our common stock were determined in accordance with the guidelines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xml:space="preserve"> The board of directors considered numerous objective and subjective factors to determine the fair value of our common stock at each meeting in which awards were approved. The factors considered included, but were not limited to:</w:t>
      </w:r>
    </w:p>
    <w:p>
      <w:pPr>
        <w:spacing w:after="0" w:line="76" w:lineRule="exact"/>
        <w:rPr>
          <w:sz w:val="20"/>
          <w:szCs w:val="20"/>
          <w:color w:val="auto"/>
        </w:rPr>
      </w:pPr>
    </w:p>
    <w:p>
      <w:pPr>
        <w:ind w:left="1540" w:hanging="514"/>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contemporaneous independent third-party valuations of our common stock;</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its common stock;</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operating and financial results;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17" w:lineRule="exact"/>
        <w:rPr>
          <w:rFonts w:ascii="Times New Roman" w:cs="Times New Roman" w:eastAsia="Times New Roman" w:hAnsi="Times New Roman"/>
          <w:sz w:val="18"/>
          <w:szCs w:val="18"/>
          <w:color w:val="auto"/>
        </w:rPr>
      </w:pPr>
    </w:p>
    <w:p>
      <w:pPr>
        <w:ind w:left="1540" w:right="120" w:hanging="514"/>
        <w:spacing w:after="0" w:line="282" w:lineRule="auto"/>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direct listing, or sale of our Company, given prevailing market conditions; and</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precedent transactions involving our shares.</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valuing our common stock, the fair value of our business was determined using various valuation methods, including combinations of income and market approaches. The income approach estimates value based on the expectation of future cash flows that our company will generate. These future cash flows are discounted to their present values using a discount rate that is derived from an analysis of the cost of capital of comparable publicly-traded companies in our industry or similar business operations as of each valuation date and is adjusted to reflect the risks inherent in our cash flows. The market approach estimates value based on a comparison of our company to comparable public companies in a similar line of business and similar to us in economic drivers and operating characteristics. From the comparable companies, a representative market value multiple is determined and then applied to our prior financial results and future financial forecasts to estimate the value of our business. Concurrent with preferred stock</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ind w:right="40"/>
        <w:spacing w:after="0" w:line="282" w:lineRule="auto"/>
        <w:rPr>
          <w:sz w:val="20"/>
          <w:szCs w:val="20"/>
          <w:color w:val="auto"/>
        </w:rPr>
      </w:pPr>
      <w:r>
        <w:rPr>
          <w:rFonts w:ascii="Times New Roman" w:cs="Times New Roman" w:eastAsia="Times New Roman" w:hAnsi="Times New Roman"/>
          <w:sz w:val="18"/>
          <w:szCs w:val="18"/>
          <w:color w:val="auto"/>
        </w:rPr>
        <w:t>financings, we also used the option pricing model to back solve the value of our common stock utilizing our most recent round of financing, which implies a total equity value as well as a per share common stock value.</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For each valuation, the fair value of our business determined by the income and market approaches was then allocated to the common stock using either the option-pricing method (“OPM”), or a hybrid of the probability-weighted expected return method (“PWERM”) and OPM methods.</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valuations prior to March 31, 2021 were allocated based on the OPM. Beginning March 31, 2021, our valuations were allocated based on a hybrid method of the PWERM and the OPM. Using the PWERM, the value of our common stock was estimated based upon a probability-weighted analysis of varying values for our common stock assuming possible future events for our company, including a scenario assuming we became a publicly-traded company and a scenario assuming we continued as a privately-held company.</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also considered and included secondary transactions involving our capital stock in our valuations.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 valuations after the Direct Listing, our board of directors determined the fair value of each share of underlying Class A common stock based on the closing price of our Class A common stock on the Nasdaq Capital Market as reported on the date of grant. As our Class A common stock is publicly traded, it is subject to potentially significant fluctuations in the trading price. Increases and decreases in the trading price of our Class A common stock will increase and decrease the fair value of our stock-based awards granted in future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See Note 1 to our consolidated financial statements included in Part II, Item 8 of this Annual Report on Form 10-K for more information regarding recent accounting pronouncements.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cash and cash equivalents and marketable securities primarily consist of cash on hand and highly liquid investments in money market funds and U.S. government securities. As of December 31, 2022, we had cash and cash equivalents of $218.5 million and marketable securities, including non-current investments, of $83.2 million.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5560" w:type="dxa"/>
            <w:vAlign w:val="bottom"/>
            <w:tcBorders>
              <w:bottom w:val="single" w:sz="8" w:color="0000FF"/>
            </w:tcBorders>
            <w:gridSpan w:val="5"/>
          </w:tcPr>
          <w:p>
            <w:pPr>
              <w:ind w:left="20"/>
              <w:spacing w:after="0" w:line="182"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185)</w:t>
            </w:r>
          </w:p>
        </w:tc>
        <w:tc>
          <w:tcPr>
            <w:tcW w:w="4820" w:type="dxa"/>
            <w:vAlign w:val="bottom"/>
            <w:gridSpan w:val="2"/>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68</w:t>
            </w:r>
          </w:p>
        </w:tc>
      </w:tr>
      <w:tr>
        <w:trPr>
          <w:trHeight w:val="237"/>
        </w:trPr>
        <w:tc>
          <w:tcPr>
            <w:tcW w:w="103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47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680" w:type="dxa"/>
            <w:vAlign w:val="bottom"/>
            <w:gridSpan w:val="3"/>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7"/>
        </w:trPr>
        <w:tc>
          <w:tcPr>
            <w:tcW w:w="103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 (Deficit</w:t>
            </w:r>
            <w:r>
              <w:rPr>
                <w:rFonts w:ascii="Times New Roman" w:cs="Times New Roman" w:eastAsia="Times New Roman" w:hAnsi="Times New Roman"/>
                <w:sz w:val="18"/>
                <w:szCs w:val="18"/>
                <w:color w:val="00000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6"/>
        </w:trPr>
        <w:tc>
          <w:tcPr>
            <w:tcW w:w="2900" w:type="dxa"/>
            <w:vAlign w:val="bottom"/>
            <w:tcBorders>
              <w:top w:val="single" w:sz="8" w:color="0000FF"/>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4580" w:type="dxa"/>
            <w:vAlign w:val="bottom"/>
            <w:tcBorders>
              <w:top w:val="single" w:sz="8" w:color="0000FF"/>
            </w:tcBorders>
            <w:gridSpan w:val="4"/>
          </w:tcPr>
          <w:p>
            <w:pPr>
              <w:spacing w:after="0"/>
              <w:rPr>
                <w:sz w:val="20"/>
                <w:szCs w:val="20"/>
                <w:color w:val="auto"/>
              </w:rPr>
            </w:pPr>
          </w:p>
        </w:tc>
        <w:tc>
          <w:tcPr>
            <w:tcW w:w="29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103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588"/>
        </w:trPr>
        <w:tc>
          <w:tcPr>
            <w:tcW w:w="3160" w:type="dxa"/>
            <w:vAlign w:val="bottom"/>
            <w:tcBorders>
              <w:top w:val="single" w:sz="8" w:color="0000FF"/>
            </w:tcBorders>
            <w:gridSpan w:val="3"/>
          </w:tcPr>
          <w:p>
            <w:pPr>
              <w:spacing w:after="0"/>
              <w:rPr>
                <w:sz w:val="24"/>
                <w:szCs w:val="24"/>
                <w:color w:val="auto"/>
              </w:rPr>
            </w:pPr>
          </w:p>
        </w:tc>
        <w:tc>
          <w:tcPr>
            <w:tcW w:w="4320" w:type="dxa"/>
            <w:vAlign w:val="bottom"/>
            <w:gridSpan w:val="3"/>
          </w:tcPr>
          <w:p>
            <w:pPr>
              <w:jc w:val="right"/>
              <w:ind w:right="1760"/>
              <w:spacing w:after="0"/>
              <w:rPr>
                <w:sz w:val="20"/>
                <w:szCs w:val="20"/>
                <w:color w:val="auto"/>
              </w:rPr>
            </w:pPr>
            <w:r>
              <w:rPr>
                <w:rFonts w:ascii="Times New Roman" w:cs="Times New Roman" w:eastAsia="Times New Roman" w:hAnsi="Times New Roman"/>
                <w:sz w:val="18"/>
                <w:szCs w:val="18"/>
                <w:color w:val="auto"/>
              </w:rPr>
              <w:t>67</w:t>
            </w:r>
          </w:p>
        </w:tc>
        <w:tc>
          <w:tcPr>
            <w:tcW w:w="29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Amplitude, Inc.:</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Amplitude, Inc. and subsidiaries (the Company) as of December 31, 2022 and 2021, the related consolidated statements of operations and comprehensive loss, redeemable convertible preferred stock and stockholders’ equity (deficit), and cash flows for each of the years in the three-year period ended December 31, 2022, and the related notes (collectively,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 Also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arrangements with non-standard terms and conditions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derives revenue primarily from sales of subscription services. Most customer contracts are subject to standard terms and conditions; however, certain contracts contain non-standard terms and conditions that may impact the timing of revenue recognition. For the year ended December 31, 2022, the Company’s revenue was $238.1 million, which included revenue related to sales of SaaS subscription arrangements.</w:t>
      </w:r>
    </w:p>
    <w:p>
      <w:pPr>
        <w:spacing w:after="0" w:line="18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identified the evaluation of revenue from SaaS subscription arrangements with non-standard terms and conditions as a critical audit matter. Significant auditor judgment was required to evaluate the Company’s assessment of the impact on revenue recognition of certain terms and conditions that are unique to certain contracts. Specifically, complex auditor judgment was required to evaluate the Company’s determination of the timing of revenue recognition for SaaS subscription arrangements with non-standard terms and conditions.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revenue recognition process, including controls related to the assessment of contractual terms that impact the determination of the timing of SaaS subscription revenue recognition. We selected a sample of SaaS subscription revenue transactions and evaluated the Company’s identification and assessment of the terms and conditions impacting revenue recognition by reading the underlying contracts and accounting analysis to evaluate whether management’s analysis determined the appropriate timing of revenue recognition.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2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203"/>
        </w:trPr>
        <w:tc>
          <w:tcPr>
            <w:tcW w:w="7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7"/>
                <w:szCs w:val="17"/>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218,494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307,445</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Marketable securities, current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$690</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$85 as of December 31, 2022 and 2021, respectively</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22,716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20,444</w:t>
            </w: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19,116</w:t>
            </w:r>
          </w:p>
        </w:tc>
        <w:tc>
          <w:tcPr>
            <w:tcW w:w="100" w:type="dxa"/>
            <w:vAlign w:val="bottom"/>
          </w:tcPr>
          <w:p>
            <w:pPr>
              <w:spacing w:after="0"/>
              <w:rPr>
                <w:sz w:val="19"/>
                <w:szCs w:val="19"/>
                <w:color w:val="auto"/>
              </w:rPr>
            </w:pPr>
          </w:p>
        </w:tc>
      </w:tr>
      <w:tr>
        <w:trPr>
          <w:trHeight w:val="23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10,918</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355,117</w:t>
            </w:r>
          </w:p>
        </w:tc>
        <w:tc>
          <w:tcPr>
            <w:tcW w:w="100" w:type="dxa"/>
            <w:vAlign w:val="bottom"/>
          </w:tcPr>
          <w:p>
            <w:pPr>
              <w:spacing w:after="0"/>
              <w:rPr>
                <w:sz w:val="18"/>
                <w:szCs w:val="18"/>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Marketable securities, noncurrent</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71,217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20,573</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9,593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100" w:type="dxa"/>
            <w:vAlign w:val="bottom"/>
          </w:tcPr>
          <w:p>
            <w:pPr>
              <w:spacing w:after="0"/>
              <w:rPr>
                <w:sz w:val="19"/>
                <w:szCs w:val="19"/>
                <w:color w:val="auto"/>
              </w:rPr>
            </w:pPr>
          </w:p>
        </w:tc>
      </w:tr>
      <w:tr>
        <w:trPr>
          <w:trHeight w:val="266"/>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413,755</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400,388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1"/>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18,699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17,936</w:t>
            </w:r>
          </w:p>
        </w:tc>
        <w:tc>
          <w:tcPr>
            <w:tcW w:w="100" w:type="dxa"/>
            <w:vAlign w:val="bottom"/>
            <w:shd w:val="clear" w:color="auto" w:fill="CFF0FC"/>
          </w:tcPr>
          <w:p>
            <w:pPr>
              <w:spacing w:after="0"/>
              <w:rPr>
                <w:sz w:val="20"/>
                <w:szCs w:val="20"/>
                <w:color w:val="auto"/>
              </w:rPr>
            </w:pPr>
          </w:p>
        </w:tc>
      </w:tr>
      <w:tr>
        <w:trPr>
          <w:trHeight w:val="227"/>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89,993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69,294</w:t>
            </w:r>
          </w:p>
        </w:tc>
        <w:tc>
          <w:tcPr>
            <w:tcW w:w="100" w:type="dxa"/>
            <w:vAlign w:val="bottom"/>
          </w:tcPr>
          <w:p>
            <w:pPr>
              <w:spacing w:after="0"/>
              <w:rPr>
                <w:sz w:val="19"/>
                <w:szCs w:val="19"/>
                <w:color w:val="auto"/>
              </w:rPr>
            </w:pPr>
          </w:p>
        </w:tc>
      </w:tr>
      <w:tr>
        <w:trPr>
          <w:trHeight w:val="226"/>
        </w:trPr>
        <w:tc>
          <w:tcPr>
            <w:tcW w:w="7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109,182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90,593</w:t>
            </w: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118,786</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93,840</w:t>
            </w:r>
          </w:p>
        </w:tc>
        <w:tc>
          <w:tcPr>
            <w:tcW w:w="100" w:type="dxa"/>
            <w:vAlign w:val="bottom"/>
          </w:tcPr>
          <w:p>
            <w:pPr>
              <w:spacing w:after="0"/>
              <w:rPr>
                <w:sz w:val="19"/>
                <w:szCs w:val="19"/>
                <w:color w:val="auto"/>
              </w:rPr>
            </w:pPr>
          </w:p>
        </w:tc>
      </w:tr>
      <w:tr>
        <w:trPr>
          <w:trHeight w:val="22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stock, $0.00001 par value per share; 20,000 shares authorized</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as of December 31, 2022 and 2021; zero shares issued and</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outstanding as of December 31, 2022 and 2021</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A common stock, $0.00001 par value per share; 600,000 shares</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authorized as of December 31, 2022 and 2021; 76,351 and 58,725</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issued and outstanding as of December 31, 2022 and 2021, respectively</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12"/>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Class B common stock, $0.00001 par value per share; 600,000</w:t>
            </w: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shares authorized as of December 31, 2022 and 2021; 37,848</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and 51,151 shares issued and outstanding as of</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6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December 31, 2022 and 2021, respectively</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568,889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486,354</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(754 )</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(273,167 )</w:t>
            </w:r>
          </w:p>
        </w:tc>
        <w:tc>
          <w:tcPr>
            <w:tcW w:w="2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(179,807 )</w:t>
            </w:r>
          </w:p>
        </w:tc>
      </w:tr>
      <w:tr>
        <w:trPr>
          <w:trHeight w:val="223"/>
        </w:trPr>
        <w:tc>
          <w:tcPr>
            <w:tcW w:w="76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294,969</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306,548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7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413,755</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400,388</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-5236845</wp:posOffset>
            </wp:positionV>
            <wp:extent cx="6858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-5236845</wp:posOffset>
            </wp:positionV>
            <wp:extent cx="6858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-3762375</wp:posOffset>
            </wp:positionV>
            <wp:extent cx="127698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6985"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-2562225</wp:posOffset>
            </wp:positionV>
            <wp:extent cx="6858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-179705</wp:posOffset>
            </wp:positionV>
            <wp:extent cx="68580" cy="180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20" w:type="dxa"/>
            <w:vAlign w:val="bottom"/>
          </w:tcPr>
          <w:p>
            <w:pPr>
              <w:spacing w:after="0"/>
              <w:rPr>
                <w:sz w:val="18"/>
                <w:szCs w:val="18"/>
                <w:color w:val="auto"/>
              </w:rPr>
            </w:pP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45"/>
        </w:trPr>
        <w:tc>
          <w:tcPr>
            <w:tcW w:w="6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1"/>
                <w:szCs w:val="21"/>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6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r>
      <w:tr>
        <w:trPr>
          <w:trHeight w:val="239"/>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238,067</w:t>
            </w:r>
          </w:p>
        </w:tc>
        <w:tc>
          <w:tcPr>
            <w:tcW w:w="1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167,261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102,464</w:t>
            </w:r>
          </w:p>
        </w:tc>
        <w:tc>
          <w:tcPr>
            <w:tcW w:w="100" w:type="dxa"/>
            <w:vAlign w:val="bottom"/>
            <w:shd w:val="clear" w:color="auto" w:fill="CFF0FC"/>
          </w:tcPr>
          <w:p>
            <w:pPr>
              <w:spacing w:after="0"/>
              <w:rPr>
                <w:sz w:val="21"/>
                <w:szCs w:val="21"/>
                <w:color w:val="auto"/>
              </w:rPr>
            </w:pPr>
          </w:p>
        </w:tc>
      </w:tr>
      <w:tr>
        <w:trPr>
          <w:trHeight w:val="23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30,483</w:t>
            </w:r>
          </w:p>
        </w:tc>
        <w:tc>
          <w:tcPr>
            <w:tcW w:w="100" w:type="dxa"/>
            <w:vAlign w:val="bottom"/>
          </w:tcPr>
          <w:p>
            <w:pPr>
              <w:spacing w:after="0"/>
              <w:rPr>
                <w:sz w:val="20"/>
                <w:szCs w:val="20"/>
                <w:color w:val="auto"/>
              </w:rPr>
            </w:pPr>
          </w:p>
        </w:tc>
      </w:tr>
      <w:tr>
        <w:trPr>
          <w:trHeight w:val="237"/>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167,625</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115,497</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48,251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26,098</w:t>
            </w:r>
          </w:p>
        </w:tc>
        <w:tc>
          <w:tcPr>
            <w:tcW w:w="100" w:type="dxa"/>
            <w:vAlign w:val="bottom"/>
            <w:shd w:val="clear" w:color="auto" w:fill="CFF0FC"/>
          </w:tcPr>
          <w:p>
            <w:pPr>
              <w:spacing w:after="0"/>
              <w:rPr>
                <w:sz w:val="21"/>
                <w:szCs w:val="21"/>
                <w:color w:val="auto"/>
              </w:rPr>
            </w:pPr>
          </w:p>
        </w:tc>
      </w:tr>
      <w:tr>
        <w:trPr>
          <w:trHeight w:val="239"/>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51,819</w:t>
            </w:r>
          </w:p>
        </w:tc>
        <w:tc>
          <w:tcPr>
            <w:tcW w:w="100" w:type="dxa"/>
            <w:vAlign w:val="bottom"/>
          </w:tcPr>
          <w:p>
            <w:pPr>
              <w:spacing w:after="0"/>
              <w:rPr>
                <w:sz w:val="20"/>
                <w:szCs w:val="20"/>
                <w:color w:val="auto"/>
              </w:rPr>
            </w:pPr>
          </w:p>
        </w:tc>
      </w:tr>
      <w:tr>
        <w:trPr>
          <w:trHeight w:val="243"/>
        </w:trPr>
        <w:tc>
          <w:tcPr>
            <w:tcW w:w="6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53,636</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189,646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95,984</w:t>
            </w:r>
          </w:p>
        </w:tc>
        <w:tc>
          <w:tcPr>
            <w:tcW w:w="100" w:type="dxa"/>
            <w:vAlign w:val="bottom"/>
          </w:tcPr>
          <w:p>
            <w:pPr>
              <w:spacing w:after="0"/>
              <w:rPr>
                <w:sz w:val="20"/>
                <w:szCs w:val="20"/>
                <w:color w:val="auto"/>
              </w:rPr>
            </w:pPr>
          </w:p>
        </w:tc>
      </w:tr>
      <w:tr>
        <w:trPr>
          <w:trHeight w:val="236"/>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(92,581 )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(73,954 )</w:t>
            </w:r>
          </w:p>
        </w:tc>
        <w:tc>
          <w:tcPr>
            <w:tcW w:w="1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(23,734 )</w:t>
            </w:r>
          </w:p>
        </w:tc>
      </w:tr>
      <w:tr>
        <w:trPr>
          <w:trHeight w:val="243"/>
        </w:trPr>
        <w:tc>
          <w:tcPr>
            <w:tcW w:w="6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(93,377 )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(74,983 )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(24,567 )</w:t>
            </w:r>
          </w:p>
        </w:tc>
      </w:tr>
      <w:tr>
        <w:trPr>
          <w:trHeight w:val="20"/>
        </w:trPr>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(0.84 )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(0.98 )</w:t>
            </w:r>
          </w:p>
        </w:tc>
      </w:tr>
      <w:tr>
        <w:trPr>
          <w:trHeight w:val="20"/>
        </w:trPr>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65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Class A and Class B common stockholders:</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100" w:type="dxa"/>
            <w:vAlign w:val="bottom"/>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unrealized losses on marketable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65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(94,131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(74,983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-2914015</wp:posOffset>
            </wp:positionV>
            <wp:extent cx="7747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-2914015</wp:posOffset>
            </wp:positionV>
            <wp:extent cx="6858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-2288540</wp:posOffset>
            </wp:positionV>
            <wp:extent cx="7747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-2288540</wp:posOffset>
            </wp:positionV>
            <wp:extent cx="6858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-2288540</wp:posOffset>
            </wp:positionV>
            <wp:extent cx="685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-1962150</wp:posOffset>
            </wp:positionV>
            <wp:extent cx="7747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-1962150</wp:posOffset>
            </wp:positionV>
            <wp:extent cx="6858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-1645285</wp:posOffset>
            </wp:positionV>
            <wp:extent cx="7747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-1645285</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 Stockholders’ Equity (Deficit)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160"/>
          </w:cols>
          <w:pgMar w:left="340" w:top="333" w:right="399" w:bottom="1440" w:gutter="0" w:footer="0" w:header="0"/>
        </w:sect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80" w:type="dxa"/>
            <w:vAlign w:val="bottom"/>
          </w:tcPr>
          <w:p>
            <w:pPr>
              <w:spacing w:after="0"/>
              <w:rPr>
                <w:sz w:val="11"/>
                <w:szCs w:val="11"/>
                <w:color w:val="auto"/>
              </w:rPr>
            </w:pPr>
          </w:p>
        </w:tc>
        <w:tc>
          <w:tcPr>
            <w:tcW w:w="154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r>
      <w:tr>
        <w:trPr>
          <w:trHeight w:val="146"/>
        </w:trPr>
        <w:tc>
          <w:tcPr>
            <w:tcW w:w="3780" w:type="dxa"/>
            <w:vAlign w:val="bottom"/>
          </w:tcPr>
          <w:p>
            <w:pPr>
              <w:spacing w:after="0"/>
              <w:rPr>
                <w:sz w:val="12"/>
                <w:szCs w:val="12"/>
                <w:color w:val="auto"/>
              </w:rPr>
            </w:pPr>
          </w:p>
        </w:tc>
        <w:tc>
          <w:tcPr>
            <w:tcW w:w="1540" w:type="dxa"/>
            <w:vAlign w:val="bottom"/>
            <w:gridSpan w:val="5"/>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preferred stock</w:t>
            </w:r>
          </w:p>
        </w:tc>
      </w:tr>
      <w:tr>
        <w:trPr>
          <w:trHeight w:val="140"/>
        </w:trPr>
        <w:tc>
          <w:tcPr>
            <w:tcW w:w="378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2"/>
                <w:szCs w:val="12"/>
                <w:color w:val="auto"/>
              </w:rPr>
            </w:pPr>
          </w:p>
        </w:tc>
      </w:tr>
      <w:tr>
        <w:trPr>
          <w:trHeight w:val="14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Balance at December 31, 2019</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56,480</w:t>
            </w:r>
          </w:p>
        </w:tc>
        <w:tc>
          <w:tcPr>
            <w:tcW w:w="24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137,991</w:t>
            </w:r>
          </w:p>
        </w:tc>
        <w:tc>
          <w:tcPr>
            <w:tcW w:w="60" w:type="dxa"/>
            <w:vAlign w:val="bottom"/>
          </w:tcPr>
          <w:p>
            <w:pPr>
              <w:spacing w:after="0"/>
              <w:rPr>
                <w:sz w:val="12"/>
                <w:szCs w:val="12"/>
                <w:color w:val="auto"/>
              </w:rPr>
            </w:pP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redeemable convertible preferred stock, net of issuance costs of $169</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49,820</w:t>
            </w:r>
          </w:p>
        </w:tc>
        <w:tc>
          <w:tcPr>
            <w:tcW w:w="60" w:type="dxa"/>
            <w:vAlign w:val="bottom"/>
          </w:tcPr>
          <w:p>
            <w:pPr>
              <w:spacing w:after="0"/>
              <w:rPr>
                <w:sz w:val="12"/>
                <w:szCs w:val="12"/>
                <w:color w:val="auto"/>
              </w:rPr>
            </w:pP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Donation of common stock and repurchase of unvested stock options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57"/>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Balance at December 31, 2020</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61,717</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187,811</w:t>
            </w:r>
          </w:p>
        </w:tc>
        <w:tc>
          <w:tcPr>
            <w:tcW w:w="60" w:type="dxa"/>
            <w:vAlign w:val="bottom"/>
          </w:tcPr>
          <w:p>
            <w:pPr>
              <w:spacing w:after="0"/>
              <w:rPr>
                <w:sz w:val="11"/>
                <w:szCs w:val="11"/>
                <w:color w:val="auto"/>
              </w:rPr>
            </w:pP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in connection with an acquisition</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redeemable convertible preferred stock, net</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0"/>
        </w:trPr>
        <w:tc>
          <w:tcPr>
            <w:tcW w:w="37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of issuance costs of $198</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6,247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199,802</w:t>
            </w:r>
          </w:p>
        </w:tc>
        <w:tc>
          <w:tcPr>
            <w:tcW w:w="60" w:type="dxa"/>
            <w:vAlign w:val="bottom"/>
          </w:tcPr>
          <w:p>
            <w:pPr>
              <w:spacing w:after="0"/>
              <w:rPr>
                <w:sz w:val="12"/>
                <w:szCs w:val="12"/>
                <w:color w:val="auto"/>
              </w:rPr>
            </w:pPr>
          </w:p>
        </w:tc>
      </w:tr>
      <w:tr>
        <w:trPr>
          <w:trHeight w:val="130"/>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Conversion of redeemable convertible preferred stock to</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0"/>
        </w:trPr>
        <w:tc>
          <w:tcPr>
            <w:tcW w:w="37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 upon Direct Listing</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(67,964 )</w:t>
            </w:r>
          </w:p>
        </w:tc>
        <w:tc>
          <w:tcPr>
            <w:tcW w:w="12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(387,613 )</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57"/>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34"/>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Balance at December 31, 2021</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Vesting of early exercised stock options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Donation of common stock and repurchase of unvested stock options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Cumulative impact of Topic 842 adoption</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57"/>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loss, net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3780" w:type="dxa"/>
            <w:vAlign w:val="bottom"/>
          </w:tcPr>
          <w:p>
            <w:pPr>
              <w:spacing w:after="0"/>
              <w:rPr>
                <w:sz w:val="20"/>
                <w:szCs w:val="20"/>
                <w:color w:val="auto"/>
              </w:rPr>
            </w:pPr>
            <w:r>
              <w:rPr>
                <w:rFonts w:ascii="Times New Roman" w:cs="Times New Roman" w:eastAsia="Times New Roman" w:hAnsi="Times New Roman"/>
                <w:sz w:val="11"/>
                <w:szCs w:val="11"/>
                <w:color w:val="auto"/>
              </w:rPr>
              <w:t>Balance at December 31, 2022</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r>
      <w:tr>
        <w:trPr>
          <w:trHeight w:val="20"/>
        </w:trPr>
        <w:tc>
          <w:tcPr>
            <w:tcW w:w="3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340" w:type="dxa"/>
            <w:vAlign w:val="bottom"/>
            <w:gridSpan w:val="4"/>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Class A and Class B</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1"/>
                <w:szCs w:val="11"/>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Accumulated other</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48"/>
        </w:trPr>
        <w:tc>
          <w:tcPr>
            <w:tcW w:w="134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80" w:type="dxa"/>
            <w:vAlign w:val="bottom"/>
          </w:tcPr>
          <w:p>
            <w:pPr>
              <w:spacing w:after="0"/>
              <w:rPr>
                <w:sz w:val="12"/>
                <w:szCs w:val="12"/>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00" w:type="dxa"/>
            <w:vAlign w:val="bottom"/>
          </w:tcPr>
          <w:p>
            <w:pPr>
              <w:spacing w:after="0"/>
              <w:rPr>
                <w:sz w:val="12"/>
                <w:szCs w:val="12"/>
                <w:color w:val="auto"/>
              </w:rPr>
            </w:pPr>
          </w:p>
        </w:tc>
        <w:tc>
          <w:tcPr>
            <w:tcW w:w="940" w:type="dxa"/>
            <w:vAlign w:val="bottom"/>
            <w:gridSpan w:val="2"/>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2"/>
                <w:szCs w:val="12"/>
                <w:color w:val="auto"/>
              </w:rPr>
            </w:pPr>
          </w:p>
        </w:tc>
        <w:tc>
          <w:tcPr>
            <w:tcW w:w="800" w:type="dxa"/>
            <w:vAlign w:val="bottom"/>
            <w:gridSpan w:val="2"/>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5"/>
              </w:rPr>
              <w:t>stockholders’</w:t>
            </w:r>
          </w:p>
        </w:tc>
      </w:tr>
      <w:tr>
        <w:trPr>
          <w:trHeight w:val="136"/>
        </w:trPr>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1"/>
                <w:szCs w:val="11"/>
                <w:color w:val="auto"/>
              </w:rPr>
            </w:pP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1"/>
                <w:szCs w:val="11"/>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00" w:type="dxa"/>
            <w:vAlign w:val="bottom"/>
          </w:tcPr>
          <w:p>
            <w:pPr>
              <w:spacing w:after="0"/>
              <w:rPr>
                <w:sz w:val="11"/>
                <w:szCs w:val="11"/>
                <w:color w:val="auto"/>
              </w:rPr>
            </w:pPr>
          </w:p>
        </w:tc>
        <w:tc>
          <w:tcPr>
            <w:tcW w:w="940" w:type="dxa"/>
            <w:vAlign w:val="bottom"/>
            <w:gridSpan w:val="2"/>
          </w:tcPr>
          <w:p>
            <w:pPr>
              <w:jc w:val="right"/>
              <w:ind w:right="442"/>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1"/>
                <w:szCs w:val="11"/>
                <w:color w:val="auto"/>
              </w:rPr>
            </w:pPr>
          </w:p>
        </w:tc>
        <w:tc>
          <w:tcPr>
            <w:tcW w:w="800" w:type="dxa"/>
            <w:vAlign w:val="bottom"/>
            <w:gridSpan w:val="2"/>
          </w:tcPr>
          <w:p>
            <w:pPr>
              <w:jc w:val="center"/>
              <w:ind w:right="82"/>
              <w:spacing w:after="0"/>
              <w:rPr>
                <w:sz w:val="20"/>
                <w:szCs w:val="20"/>
                <w:color w:val="auto"/>
              </w:rPr>
            </w:pPr>
            <w:r>
              <w:rPr>
                <w:rFonts w:ascii="Times New Roman" w:cs="Times New Roman" w:eastAsia="Times New Roman" w:hAnsi="Times New Roman"/>
                <w:sz w:val="11"/>
                <w:szCs w:val="11"/>
                <w:b w:val="1"/>
                <w:bCs w:val="1"/>
                <w:color w:val="auto"/>
                <w:w w:val="98"/>
              </w:rPr>
              <w:t>equity (deficit)</w:t>
            </w:r>
          </w:p>
        </w:tc>
      </w:tr>
      <w:tr>
        <w:trPr>
          <w:trHeight w:val="140"/>
        </w:trPr>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24,646</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17,378</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(80,257</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(62,879</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48"/>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16,553</w:t>
            </w:r>
          </w:p>
        </w:tc>
        <w:tc>
          <w:tcPr>
            <w:tcW w:w="40" w:type="dxa"/>
            <w:vAlign w:val="bottom"/>
          </w:tcPr>
          <w:p>
            <w:pPr>
              <w:spacing w:after="0"/>
              <w:rPr>
                <w:sz w:val="12"/>
                <w:szCs w:val="12"/>
                <w:color w:val="auto"/>
              </w:rPr>
            </w:pPr>
          </w:p>
        </w:tc>
      </w:tr>
      <w:tr>
        <w:trPr>
          <w:trHeight w:val="148"/>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3,637</w:t>
            </w:r>
          </w:p>
        </w:tc>
        <w:tc>
          <w:tcPr>
            <w:tcW w:w="40" w:type="dxa"/>
            <w:vAlign w:val="bottom"/>
          </w:tcPr>
          <w:p>
            <w:pPr>
              <w:spacing w:after="0"/>
              <w:rPr>
                <w:sz w:val="12"/>
                <w:szCs w:val="12"/>
                <w:color w:val="auto"/>
              </w:rPr>
            </w:pPr>
          </w:p>
        </w:tc>
      </w:tr>
      <w:tr>
        <w:trPr>
          <w:trHeight w:val="148"/>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40" w:type="dxa"/>
            <w:vAlign w:val="bottom"/>
          </w:tcPr>
          <w:p>
            <w:pPr>
              <w:spacing w:after="0"/>
              <w:rPr>
                <w:sz w:val="12"/>
                <w:szCs w:val="12"/>
                <w:color w:val="auto"/>
              </w:rPr>
            </w:pPr>
          </w:p>
        </w:tc>
      </w:tr>
      <w:tr>
        <w:trPr>
          <w:trHeight w:val="149"/>
        </w:trPr>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(370 )</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(24,567 )</w:t>
            </w: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(24,567 )</w:t>
            </w:r>
          </w:p>
        </w:tc>
      </w:tr>
      <w:tr>
        <w:trPr>
          <w:trHeight w:val="138"/>
        </w:trPr>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27,924</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37,704</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(104,824</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(67,120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48"/>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34,773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34,773</w:t>
            </w:r>
          </w:p>
        </w:tc>
        <w:tc>
          <w:tcPr>
            <w:tcW w:w="40" w:type="dxa"/>
            <w:vAlign w:val="bottom"/>
          </w:tcPr>
          <w:p>
            <w:pPr>
              <w:spacing w:after="0"/>
              <w:rPr>
                <w:sz w:val="12"/>
                <w:szCs w:val="12"/>
                <w:color w:val="auto"/>
              </w:rPr>
            </w:pPr>
          </w:p>
        </w:tc>
      </w:tr>
      <w:tr>
        <w:trPr>
          <w:trHeight w:val="149"/>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16,982</w:t>
            </w:r>
          </w:p>
        </w:tc>
        <w:tc>
          <w:tcPr>
            <w:tcW w:w="40" w:type="dxa"/>
            <w:vAlign w:val="bottom"/>
          </w:tcPr>
          <w:p>
            <w:pPr>
              <w:spacing w:after="0"/>
              <w:rPr>
                <w:sz w:val="12"/>
                <w:szCs w:val="12"/>
                <w:color w:val="auto"/>
              </w:rPr>
            </w:pPr>
          </w:p>
        </w:tc>
      </w:tr>
      <w:tr>
        <w:trPr>
          <w:trHeight w:val="148"/>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7,402</w:t>
            </w:r>
          </w:p>
        </w:tc>
        <w:tc>
          <w:tcPr>
            <w:tcW w:w="40" w:type="dxa"/>
            <w:vAlign w:val="bottom"/>
          </w:tcPr>
          <w:p>
            <w:pPr>
              <w:spacing w:after="0"/>
              <w:rPr>
                <w:sz w:val="12"/>
                <w:szCs w:val="12"/>
                <w:color w:val="auto"/>
              </w:rPr>
            </w:pPr>
          </w:p>
        </w:tc>
      </w:tr>
      <w:tr>
        <w:trPr>
          <w:trHeight w:val="270"/>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3"/>
                <w:szCs w:val="2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3"/>
                <w:szCs w:val="23"/>
                <w:color w:val="auto"/>
              </w:rPr>
            </w:pP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67,964</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387,612</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387,613</w:t>
            </w:r>
          </w:p>
        </w:tc>
        <w:tc>
          <w:tcPr>
            <w:tcW w:w="40" w:type="dxa"/>
            <w:vAlign w:val="bottom"/>
          </w:tcPr>
          <w:p>
            <w:pPr>
              <w:spacing w:after="0"/>
              <w:rPr>
                <w:sz w:val="23"/>
                <w:szCs w:val="23"/>
                <w:color w:val="auto"/>
              </w:rPr>
            </w:pPr>
          </w:p>
        </w:tc>
      </w:tr>
      <w:tr>
        <w:trPr>
          <w:trHeight w:val="148"/>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1,881</w:t>
            </w:r>
          </w:p>
        </w:tc>
        <w:tc>
          <w:tcPr>
            <w:tcW w:w="40" w:type="dxa"/>
            <w:vAlign w:val="bottom"/>
          </w:tcPr>
          <w:p>
            <w:pPr>
              <w:spacing w:after="0"/>
              <w:rPr>
                <w:sz w:val="12"/>
                <w:szCs w:val="12"/>
                <w:color w:val="auto"/>
              </w:rPr>
            </w:pPr>
          </w:p>
        </w:tc>
      </w:tr>
      <w:tr>
        <w:trPr>
          <w:trHeight w:val="153"/>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(74,983 )</w:t>
            </w: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(74,983 )</w:t>
            </w:r>
          </w:p>
        </w:tc>
      </w:tr>
      <w:tr>
        <w:trPr>
          <w:trHeight w:val="138"/>
        </w:trPr>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109,876</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486,354</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(179,807</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306,548</w:t>
            </w:r>
          </w:p>
        </w:tc>
        <w:tc>
          <w:tcPr>
            <w:tcW w:w="40" w:type="dxa"/>
            <w:vAlign w:val="bottom"/>
          </w:tcPr>
          <w:p>
            <w:pPr>
              <w:spacing w:after="0"/>
              <w:rPr>
                <w:sz w:val="11"/>
                <w:szCs w:val="11"/>
                <w:color w:val="auto"/>
              </w:rPr>
            </w:pPr>
          </w:p>
        </w:tc>
      </w:tr>
      <w:tr>
        <w:trPr>
          <w:trHeight w:val="148"/>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68,576</w:t>
            </w:r>
          </w:p>
        </w:tc>
        <w:tc>
          <w:tcPr>
            <w:tcW w:w="40" w:type="dxa"/>
            <w:vAlign w:val="bottom"/>
          </w:tcPr>
          <w:p>
            <w:pPr>
              <w:spacing w:after="0"/>
              <w:rPr>
                <w:sz w:val="12"/>
                <w:szCs w:val="12"/>
                <w:color w:val="auto"/>
              </w:rPr>
            </w:pPr>
          </w:p>
        </w:tc>
      </w:tr>
      <w:tr>
        <w:trPr>
          <w:trHeight w:val="148"/>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6,899</w:t>
            </w:r>
          </w:p>
        </w:tc>
        <w:tc>
          <w:tcPr>
            <w:tcW w:w="40" w:type="dxa"/>
            <w:vAlign w:val="bottom"/>
          </w:tcPr>
          <w:p>
            <w:pPr>
              <w:spacing w:after="0"/>
              <w:rPr>
                <w:sz w:val="12"/>
                <w:szCs w:val="12"/>
                <w:color w:val="auto"/>
              </w:rPr>
            </w:pPr>
          </w:p>
        </w:tc>
      </w:tr>
      <w:tr>
        <w:trPr>
          <w:trHeight w:val="148"/>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2,323</w:t>
            </w:r>
          </w:p>
        </w:tc>
        <w:tc>
          <w:tcPr>
            <w:tcW w:w="40" w:type="dxa"/>
            <w:vAlign w:val="bottom"/>
          </w:tcPr>
          <w:p>
            <w:pPr>
              <w:spacing w:after="0"/>
              <w:rPr>
                <w:sz w:val="12"/>
                <w:szCs w:val="12"/>
                <w:color w:val="auto"/>
              </w:rPr>
            </w:pPr>
          </w:p>
        </w:tc>
      </w:tr>
      <w:tr>
        <w:trPr>
          <w:trHeight w:val="148"/>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w:t>
            </w:r>
          </w:p>
        </w:tc>
      </w:tr>
      <w:tr>
        <w:trPr>
          <w:trHeight w:val="149"/>
        </w:trPr>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w:t>
            </w:r>
          </w:p>
        </w:tc>
        <w:tc>
          <w:tcPr>
            <w:tcW w:w="40" w:type="dxa"/>
            <w:vAlign w:val="bottom"/>
          </w:tcPr>
          <w:p>
            <w:pPr>
              <w:spacing w:after="0"/>
              <w:rPr>
                <w:sz w:val="12"/>
                <w:szCs w:val="12"/>
                <w:color w:val="auto"/>
              </w:rPr>
            </w:pPr>
          </w:p>
        </w:tc>
      </w:tr>
      <w:tr>
        <w:trPr>
          <w:trHeight w:val="148"/>
        </w:trPr>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(8 )</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(1 )</w:t>
            </w: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48"/>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40" w:type="dxa"/>
            <w:vAlign w:val="bottom"/>
          </w:tcPr>
          <w:p>
            <w:pPr>
              <w:spacing w:after="0"/>
              <w:rPr>
                <w:sz w:val="12"/>
                <w:szCs w:val="12"/>
                <w:color w:val="auto"/>
              </w:rPr>
            </w:pPr>
          </w:p>
        </w:tc>
      </w:tr>
      <w:tr>
        <w:trPr>
          <w:trHeight w:val="148"/>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122"/>
              <w:spacing w:after="0"/>
              <w:rPr>
                <w:sz w:val="20"/>
                <w:szCs w:val="20"/>
                <w:color w:val="auto"/>
              </w:rPr>
            </w:pPr>
            <w:r>
              <w:rPr>
                <w:rFonts w:ascii="Times New Roman" w:cs="Times New Roman" w:eastAsia="Times New Roman" w:hAnsi="Times New Roman"/>
                <w:sz w:val="11"/>
                <w:szCs w:val="11"/>
                <w:color w:val="auto"/>
              </w:rPr>
              <w:t>(93,377 )</w:t>
            </w:r>
          </w:p>
        </w:tc>
        <w:tc>
          <w:tcPr>
            <w:tcW w:w="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(93,377 )</w:t>
            </w:r>
          </w:p>
        </w:tc>
      </w:tr>
      <w:tr>
        <w:trPr>
          <w:trHeight w:val="153"/>
        </w:trPr>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(754 )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82"/>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(754 )</w:t>
            </w:r>
          </w:p>
        </w:tc>
      </w:tr>
      <w:tr>
        <w:trPr>
          <w:trHeight w:val="142"/>
        </w:trPr>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114,199</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568,889</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(273,167</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294,969</w:t>
            </w:r>
          </w:p>
        </w:tc>
        <w:tc>
          <w:tcPr>
            <w:tcW w:w="40" w:type="dxa"/>
            <w:vAlign w:val="bottom"/>
          </w:tcPr>
          <w:p>
            <w:pPr>
              <w:spacing w:after="0"/>
              <w:rPr>
                <w:sz w:val="12"/>
                <w:szCs w:val="1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-2750820</wp:posOffset>
            </wp:positionV>
            <wp:extent cx="7132320" cy="93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-2562860</wp:posOffset>
            </wp:positionV>
            <wp:extent cx="7132320" cy="94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-2373630</wp:posOffset>
            </wp:positionV>
            <wp:extent cx="7132320" cy="939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-2185670</wp:posOffset>
            </wp:positionV>
            <wp:extent cx="7132320" cy="291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-1799590</wp:posOffset>
            </wp:positionV>
            <wp:extent cx="7132320" cy="93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-1534160</wp:posOffset>
            </wp:positionV>
            <wp:extent cx="713232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-1268095</wp:posOffset>
            </wp:positionV>
            <wp:extent cx="7132320" cy="946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-1071245</wp:posOffset>
            </wp:positionV>
            <wp:extent cx="7132320" cy="939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-882650</wp:posOffset>
            </wp:positionV>
            <wp:extent cx="7132320"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-693420</wp:posOffset>
            </wp:positionV>
            <wp:extent cx="7132320" cy="939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-505460</wp:posOffset>
            </wp:positionV>
            <wp:extent cx="7132320" cy="93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-316230</wp:posOffset>
            </wp:positionV>
            <wp:extent cx="7132320" cy="939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-119380</wp:posOffset>
            </wp:positionV>
            <wp:extent cx="713232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180"/>
            <w:col w:w="5660"/>
          </w:cols>
          <w:pgMar w:left="340" w:top="333" w:right="39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33" w:right="399" w:bottom="1440" w:gutter="0" w:footer="0" w:header="0"/>
          <w:type w:val="continuous"/>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0"/>
        </w:trPr>
        <w:tc>
          <w:tcPr>
            <w:tcW w:w="6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(93,377 )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(74,983 )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(24,567 )</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300" w:type="dxa"/>
            <w:vAlign w:val="bottom"/>
          </w:tcPr>
          <w:p>
            <w:pPr>
              <w:spacing w:after="0"/>
              <w:rPr>
                <w:sz w:val="20"/>
                <w:szCs w:val="20"/>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300" w:type="dxa"/>
            <w:vAlign w:val="bottom"/>
            <w:shd w:val="clear" w:color="auto" w:fill="CFF0FC"/>
          </w:tcPr>
          <w:p>
            <w:pPr>
              <w:spacing w:after="0"/>
              <w:rPr>
                <w:sz w:val="21"/>
                <w:szCs w:val="2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300" w:type="dxa"/>
            <w:vAlign w:val="bottom"/>
          </w:tcPr>
          <w:p>
            <w:pPr>
              <w:spacing w:after="0"/>
              <w:rPr>
                <w:sz w:val="20"/>
                <w:szCs w:val="20"/>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3"/>
                <w:szCs w:val="13"/>
                <w:color w:val="auto"/>
              </w:rPr>
              <w:t>—</w:t>
            </w: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7"/>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(2,427 )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(3,033 )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(5,561 )</w:t>
            </w:r>
          </w:p>
        </w:tc>
      </w:tr>
      <w:tr>
        <w:trPr>
          <w:trHeight w:val="239"/>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(1,014 )</w:t>
            </w: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(12,222 )</w:t>
            </w:r>
          </w:p>
        </w:tc>
        <w:tc>
          <w:tcPr>
            <w:tcW w:w="280" w:type="dxa"/>
            <w:vAlign w:val="bottom"/>
          </w:tcPr>
          <w:p>
            <w:pPr>
              <w:spacing w:after="0"/>
              <w:rPr>
                <w:sz w:val="20"/>
                <w:szCs w:val="20"/>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(1,469 )</w:t>
            </w:r>
          </w:p>
        </w:tc>
      </w:tr>
      <w:tr>
        <w:trPr>
          <w:trHeight w:val="247"/>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commissions</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(8,032 )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(9,245 )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(7,180 )</w:t>
            </w:r>
          </w:p>
        </w:tc>
      </w:tr>
      <w:tr>
        <w:trPr>
          <w:trHeight w:val="239"/>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(4,491 )</w:t>
            </w:r>
          </w:p>
        </w:tc>
        <w:tc>
          <w:tcPr>
            <w:tcW w:w="280" w:type="dxa"/>
            <w:vAlign w:val="bottom"/>
          </w:tcPr>
          <w:p>
            <w:pPr>
              <w:spacing w:after="0"/>
              <w:rPr>
                <w:sz w:val="20"/>
                <w:szCs w:val="20"/>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(5,719 )</w:t>
            </w:r>
          </w:p>
        </w:tc>
      </w:tr>
      <w:tr>
        <w:trPr>
          <w:trHeight w:val="247"/>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(2,884 )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(1,054 )</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300" w:type="dxa"/>
            <w:vAlign w:val="bottom"/>
            <w:shd w:val="clear" w:color="auto" w:fill="CFF0FC"/>
          </w:tcPr>
          <w:p>
            <w:pPr>
              <w:spacing w:after="0"/>
              <w:rPr>
                <w:sz w:val="21"/>
                <w:szCs w:val="21"/>
                <w:color w:val="auto"/>
              </w:rPr>
            </w:pPr>
          </w:p>
        </w:tc>
      </w:tr>
      <w:tr>
        <w:trPr>
          <w:trHeight w:val="239"/>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300" w:type="dxa"/>
            <w:vAlign w:val="bottom"/>
          </w:tcPr>
          <w:p>
            <w:pPr>
              <w:spacing w:after="0"/>
              <w:rPr>
                <w:sz w:val="20"/>
                <w:szCs w:val="20"/>
                <w:color w:val="auto"/>
              </w:rPr>
            </w:pPr>
          </w:p>
        </w:tc>
      </w:tr>
      <w:tr>
        <w:trPr>
          <w:trHeight w:val="247"/>
        </w:trPr>
        <w:tc>
          <w:tcPr>
            <w:tcW w:w="66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300" w:type="dxa"/>
            <w:vAlign w:val="bottom"/>
            <w:shd w:val="clear" w:color="auto" w:fill="CFF0FC"/>
          </w:tcPr>
          <w:p>
            <w:pPr>
              <w:spacing w:after="0"/>
              <w:rPr>
                <w:sz w:val="21"/>
                <w:szCs w:val="21"/>
                <w:color w:val="auto"/>
              </w:rPr>
            </w:pPr>
          </w:p>
        </w:tc>
      </w:tr>
      <w:tr>
        <w:trPr>
          <w:trHeight w:val="242"/>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21"/>
                <w:szCs w:val="21"/>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(3,616 )</w:t>
            </w:r>
          </w:p>
        </w:tc>
        <w:tc>
          <w:tcPr>
            <w:tcW w:w="280" w:type="dxa"/>
            <w:vAlign w:val="bottom"/>
          </w:tcPr>
          <w:p>
            <w:pPr>
              <w:spacing w:after="0"/>
              <w:rPr>
                <w:sz w:val="21"/>
                <w:szCs w:val="21"/>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30"/>
              <w:spacing w:after="0"/>
              <w:rPr>
                <w:sz w:val="20"/>
                <w:szCs w:val="20"/>
                <w:color w:val="auto"/>
              </w:rPr>
            </w:pPr>
            <w:r>
              <w:rPr>
                <w:rFonts w:ascii="Times New Roman" w:cs="Times New Roman" w:eastAsia="Times New Roman" w:hAnsi="Times New Roman"/>
                <w:sz w:val="13"/>
                <w:szCs w:val="13"/>
                <w:color w:val="auto"/>
              </w:rPr>
              <w:t>—</w:t>
            </w:r>
          </w:p>
        </w:tc>
      </w:tr>
      <w:tr>
        <w:trPr>
          <w:trHeight w:val="233"/>
        </w:trPr>
        <w:tc>
          <w:tcPr>
            <w:tcW w:w="66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(83,190 )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3"/>
                <w:szCs w:val="13"/>
                <w:color w:val="auto"/>
              </w:rPr>
              <w:t>—</w:t>
            </w: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(3,632 )</w:t>
            </w: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(1,529 )</w:t>
            </w:r>
          </w:p>
        </w:tc>
        <w:tc>
          <w:tcPr>
            <w:tcW w:w="280" w:type="dxa"/>
            <w:vAlign w:val="bottom"/>
          </w:tcPr>
          <w:p>
            <w:pPr>
              <w:spacing w:after="0"/>
              <w:rPr>
                <w:sz w:val="20"/>
                <w:szCs w:val="20"/>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(984 )</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(2,177 )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(1,693 )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(1,224 )</w:t>
            </w: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(394 )</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(3,700 )</w:t>
            </w:r>
          </w:p>
        </w:tc>
      </w:tr>
      <w:tr>
        <w:trPr>
          <w:trHeight w:val="236"/>
        </w:trPr>
        <w:tc>
          <w:tcPr>
            <w:tcW w:w="66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(89,393</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300" w:type="dxa"/>
            <w:vAlign w:val="bottom"/>
            <w:shd w:val="clear" w:color="auto" w:fill="CFF0FC"/>
          </w:tcPr>
          <w:p>
            <w:pPr>
              <w:spacing w:after="0"/>
              <w:rPr>
                <w:sz w:val="21"/>
                <w:szCs w:val="21"/>
                <w:color w:val="auto"/>
              </w:rPr>
            </w:pPr>
          </w:p>
        </w:tc>
      </w:tr>
      <w:tr>
        <w:trPr>
          <w:trHeight w:val="242"/>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redeemable convertible preferred stock, net</w:t>
            </w:r>
          </w:p>
        </w:tc>
        <w:tc>
          <w:tcPr>
            <w:tcW w:w="280" w:type="dxa"/>
            <w:vAlign w:val="bottom"/>
          </w:tcPr>
          <w:p>
            <w:pPr>
              <w:spacing w:after="0"/>
              <w:rPr>
                <w:sz w:val="21"/>
                <w:szCs w:val="21"/>
                <w:color w:val="auto"/>
              </w:rPr>
            </w:pPr>
          </w:p>
        </w:tc>
        <w:tc>
          <w:tcPr>
            <w:tcW w:w="1280" w:type="dxa"/>
            <w:vAlign w:val="bottom"/>
            <w:gridSpan w:val="2"/>
          </w:tcPr>
          <w:p>
            <w:pPr>
              <w:jc w:val="right"/>
              <w:ind w:right="201"/>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300" w:type="dxa"/>
            <w:vAlign w:val="bottom"/>
          </w:tcPr>
          <w:p>
            <w:pPr>
              <w:spacing w:after="0"/>
              <w:rPr>
                <w:sz w:val="21"/>
                <w:szCs w:val="21"/>
                <w:color w:val="auto"/>
              </w:rPr>
            </w:pPr>
          </w:p>
        </w:tc>
      </w:tr>
      <w:tr>
        <w:trPr>
          <w:trHeight w:val="212"/>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received for tax withholding obligations on equity</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48"/>
        </w:trPr>
        <w:tc>
          <w:tcPr>
            <w:tcW w:w="6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award settlements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145,481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3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tax withholding obligations on equity award settlements</w:t>
            </w:r>
          </w:p>
        </w:tc>
        <w:tc>
          <w:tcPr>
            <w:tcW w:w="28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(19,056 )</w:t>
            </w: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(144,420 )</w:t>
            </w:r>
          </w:p>
        </w:tc>
        <w:tc>
          <w:tcPr>
            <w:tcW w:w="280" w:type="dxa"/>
            <w:vAlign w:val="bottom"/>
          </w:tcPr>
          <w:p>
            <w:pPr>
              <w:spacing w:after="0"/>
              <w:rPr>
                <w:sz w:val="20"/>
                <w:szCs w:val="20"/>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(1,299 )</w:t>
            </w: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unvested stock options</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(2 )</w:t>
            </w:r>
          </w:p>
        </w:tc>
      </w:tr>
      <w:tr>
        <w:trPr>
          <w:trHeight w:val="236"/>
        </w:trPr>
        <w:tc>
          <w:tcPr>
            <w:tcW w:w="66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222,643</w:t>
            </w:r>
          </w:p>
        </w:tc>
        <w:tc>
          <w:tcPr>
            <w:tcW w:w="2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54,245</w:t>
            </w:r>
          </w:p>
        </w:tc>
        <w:tc>
          <w:tcPr>
            <w:tcW w:w="300" w:type="dxa"/>
            <w:vAlign w:val="bottom"/>
            <w:tcBorders>
              <w:top w:val="single" w:sz="8" w:color="CFF0FC"/>
            </w:tcBorders>
          </w:tcPr>
          <w:p>
            <w:pPr>
              <w:spacing w:after="0"/>
              <w:rPr>
                <w:sz w:val="20"/>
                <w:szCs w:val="20"/>
                <w:color w:val="auto"/>
              </w:rPr>
            </w:pPr>
          </w:p>
        </w:tc>
      </w:tr>
      <w:tr>
        <w:trPr>
          <w:trHeight w:val="209"/>
        </w:trPr>
        <w:tc>
          <w:tcPr>
            <w:tcW w:w="6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48"/>
        </w:trPr>
        <w:tc>
          <w:tcPr>
            <w:tcW w:w="66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(88,946 )</w:t>
            </w: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189,432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37,945</w:t>
            </w:r>
          </w:p>
        </w:tc>
        <w:tc>
          <w:tcPr>
            <w:tcW w:w="3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308,295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80,918</w:t>
            </w:r>
          </w:p>
        </w:tc>
        <w:tc>
          <w:tcPr>
            <w:tcW w:w="300" w:type="dxa"/>
            <w:vAlign w:val="bottom"/>
          </w:tcPr>
          <w:p>
            <w:pPr>
              <w:spacing w:after="0"/>
              <w:rPr>
                <w:sz w:val="20"/>
                <w:szCs w:val="20"/>
                <w:color w:val="auto"/>
              </w:rPr>
            </w:pPr>
          </w:p>
        </w:tc>
      </w:tr>
      <w:tr>
        <w:trPr>
          <w:trHeight w:val="277"/>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219,349</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308,295</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118,863</w:t>
            </w:r>
          </w:p>
        </w:tc>
        <w:tc>
          <w:tcPr>
            <w:tcW w:w="300" w:type="dxa"/>
            <w:vAlign w:val="bottom"/>
            <w:tcBorders>
              <w:bottom w:val="single" w:sz="8" w:color="CFF0FC"/>
            </w:tcBorders>
            <w:shd w:val="clear" w:color="auto" w:fill="CFF0FC"/>
          </w:tcPr>
          <w:p>
            <w:pPr>
              <w:spacing w:after="0"/>
              <w:rPr>
                <w:sz w:val="24"/>
                <w:szCs w:val="24"/>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early exercised options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 included in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capitalized as internal-use software costs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-3745230</wp:posOffset>
            </wp:positionV>
            <wp:extent cx="77470"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-3745230</wp:posOffset>
            </wp:positionV>
            <wp:extent cx="68580"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-3745230</wp:posOffset>
            </wp:positionV>
            <wp:extent cx="6858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-2802255</wp:posOffset>
            </wp:positionV>
            <wp:extent cx="7747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-2802255</wp:posOffset>
            </wp:positionV>
            <wp:extent cx="6858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-2802255</wp:posOffset>
            </wp:positionV>
            <wp:extent cx="6858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-1731010</wp:posOffset>
            </wp:positionV>
            <wp:extent cx="7747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-1731010</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-1731010</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-950595</wp:posOffset>
            </wp:positionV>
            <wp:extent cx="2005965"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05965" cy="17970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Amplitude, Inc. (the “Company”) was incorporated in the state of Delaware in 2011 and is headquartered in San Francisco, California. The Company provides a Digital Analytics Platform that helps companies analyze their customer behavior within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Long-lived assets outside of the United States are immaterial. For information regarding the Company’s revenue by geographic area, see the Disaggregation of Revenue section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reporting currency of the Company is the United States dollar. The functional currency of the Company’s foreign subsidiaries is also the United States dollar. Foreign currency transaction gains and losses are recognized in “Other income, net” in the consolidated statements of operations and comprehensive loss, and have not been material for any of the periods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Listing</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September 21, 2021, the Company’s registration statement related to the Direct Listing (the “Registration Statement”) was declared effective by the SEC, and on September 28, 2021, the Company’s Class A common stock commenced trading. The Company incurred fees related to financial advisory service, audit, and legal expenses in connection with the Direct Listing and recorded general and administrative expenses of $18.2 million for the year ended December 31, 2021.</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Prior to the Direct Listing, on August 30, 2021, an amended and restated certificate of incorporation of the Company was filed with the Secretary of State of the State of Delaware, which resulted in the creation of Class A common stock and Class B common stock. All existing shares of common stock issued and outstanding were reclassified into shares of Class B common stock.</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Upon the effectiveness of the Registration Statement, all 68.0 million outstanding shares of redeemable convertible preferred stock were converted into an equivalent number of shares of Class B common stock.</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September 21, 2021, an amended and restated certificate of incorporation of the Company was filed with the Secretary of State of the State of Delaware, authorizing an aggregate of 1,220,000,000 shares of capital stock of the Company, including 600,000,000 shares of Class A common stock, 600,000,000 shares of Class B common stock, and 20,000,000 shares of preferred stock.</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72" w:lineRule="exact"/>
        <w:rPr>
          <w:sz w:val="20"/>
          <w:szCs w:val="20"/>
          <w:color w:val="auto"/>
        </w:rPr>
      </w:pPr>
    </w:p>
    <w:p>
      <w:pPr>
        <w:ind w:left="1140" w:hanging="369"/>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period of benefit for deferred commissions;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long-lived assets;</w:t>
      </w:r>
    </w:p>
    <w:p>
      <w:pPr>
        <w:spacing w:after="0" w:line="117" w:lineRule="exact"/>
        <w:rPr>
          <w:rFonts w:ascii="Times New Roman" w:cs="Times New Roman" w:eastAsia="Times New Roman" w:hAnsi="Times New Roman"/>
          <w:sz w:val="18"/>
          <w:szCs w:val="18"/>
          <w:color w:val="auto"/>
        </w:rPr>
      </w:pPr>
    </w:p>
    <w:p>
      <w:pPr>
        <w:ind w:left="1140" w:right="20" w:hanging="369"/>
        <w:spacing w:after="0" w:line="282"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the Company’s common stock and stock-based awards for periods prior to the direct listing of the Company's Class A common stock on the Nasdaq Capital Market (the “Direct Listing”);</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 and intangible assets;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measurement, and valuation of deferred tax assets and income tax uncertainties;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borrowing rate used for operating leases.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COVID-19 pandemic had an adverse effect on the global economy and the lasting effects of the pandemic continue to be unknown. Although pandemic-related trends have normalized for the Company, the extent to which COVID-19 may continue to impact the Company’s financial condition, results of operations, or liquidity continues to remain uncertain, and as of the date of issuance of these financial statements, the Company is not aware of any specific event or circumstance that would require an update to its estimates or judgments or an adjustment to the carrying value of the Company’s assets or liabilities. These estimates may change, as new events occur and additional information is obtained, which will be recognized in the consolidated financial statements as soon as they become known. Actual results could differ from those estimates, and any such differences may be material to the Company’s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derives revenue primarily from sales of subscription services. Revenue is recognized when, or as, the related performance obligation is satisfied by transferring the control of the promised service to a customer. The amount of revenue recognized reflects the consideration that the Company expects to be entitled to receive in exchange for these services.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achieve the core principle of the revenue standard, the Company applies the following steps:</w:t>
      </w:r>
    </w:p>
    <w:p>
      <w:pPr>
        <w:spacing w:after="0" w:line="331" w:lineRule="exact"/>
        <w:rPr>
          <w:sz w:val="20"/>
          <w:szCs w:val="20"/>
          <w:color w:val="auto"/>
        </w:rPr>
      </w:pPr>
    </w:p>
    <w:p>
      <w:pPr>
        <w:ind w:left="1140" w:hanging="504"/>
        <w:spacing w:after="0"/>
        <w:tabs>
          <w:tab w:leader="none" w:pos="114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Identification of the contract, or contracts, with the customer</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the contract in identifying the contracts. The Company determines a contract with a customer to exist when the contract is approved, each party’s rights regarding the services to be transferred can be identified, the payment terms for the services can be identified, it has been determined the customer has the ability and intent to pay, and the contract has commercial substance. At contract inception, the Company will evaluate whether two or more contracts should be combined and accounted for as a single contract and whether the combined or single contract includes more than one performance obligation.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95" w:lineRule="exact"/>
        <w:rPr>
          <w:sz w:val="20"/>
          <w:szCs w:val="20"/>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Identification of the performance obligations in the contract</w:t>
      </w:r>
    </w:p>
    <w:p>
      <w:pPr>
        <w:spacing w:after="0" w:line="11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the Company and are distinct in the context of the contract, whereby the transfer of the services and the products is separately identifiable from other promises in the contract. The Company’s performance obligations consist of (1) core subscription services and (2) professional and other services.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5" w:name="page76"/>
    <w:bookmarkEnd w:id="75"/>
    <w:p>
      <w:pPr>
        <w:ind w:left="1140" w:hanging="504"/>
        <w:spacing w:after="0"/>
        <w:tabs>
          <w:tab w:leader="none" w:pos="114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 of the transaction price</w:t>
      </w:r>
    </w:p>
    <w:p>
      <w:pPr>
        <w:spacing w:after="0" w:line="119"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The transaction price is determined based on the consideration to which the Company expects to be entitled in exchange for transferring services to the customer. The transaction price includes SaaS subscription fees based on the contracted usage as well as variable consideration associated with overage fees on exceeded volume limits. Variable consideration is included in the transaction price if, in the Company’s judgment, it is probable that a significant future reversal of cumulative revenue under the contract will not occur. None of the Company’s contracts contain a significant financing component.</w:t>
      </w:r>
    </w:p>
    <w:p>
      <w:pPr>
        <w:spacing w:after="0" w:line="270" w:lineRule="exact"/>
        <w:rPr>
          <w:sz w:val="20"/>
          <w:szCs w:val="20"/>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Allocation of the transaction price to the performance obligations in the contract</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Contracts that contain multiple performance obligations require an allocation of the transaction price to each performance obligation based on each performance obligation’s relative standalone selling price (“SSP”). Contracts typically have one performance obligation of providing access to the core subscription service. On occasion, contracts include professional services to customers, which are separate performance obligations. Professional services revenue has historically not been significant.</w:t>
      </w:r>
    </w:p>
    <w:p>
      <w:pPr>
        <w:spacing w:after="0" w:line="286" w:lineRule="exact"/>
        <w:rPr>
          <w:sz w:val="20"/>
          <w:szCs w:val="20"/>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Recognition of the revenue when, or as, a performance obligation is satisfied</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at the time the related performance obligation is satisfied by transferring the control of the promised service to a customer. For subscription services, revenue is recognized as the customer is given access to the core subscription service, in an amount that reflects the consideration that the Company expects to receive in exchange for access to the services. With respect to professional services, the Company recognizes revenue as services are delivered. The Company generates all its revenue from contracts with customers.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generates revenue from subscription services including SaaS subscriptions and customer support services subject to contractual subscription terms. SaaS subscriptions enable customers to access and send event volume data to the Company’s cloud-based platform. Subscription arrangements with customers do not provide the customer with the right to take possession of the Company’s software at any time. Instead, customers are granted continuous access to the platform over the contractual period. A time-elapsed method is used to measure progress because the Company’s obligation is to provide continuous service over the contractual period and control is transferred evenly over the contractual period. Accordingly, the fixed consideration related to subscription revenue is recognized ratably over the contract term beginning on the date access to the subscription product is provisioned. The typical subscription term is 12 months with various payment terms ranging from monthly to annual up-front payments. Most contracts are non-cancellable over the contractual term and are subject to standard terms and conditions; however, certain contracts contain nonstandard terms that may impact the timing of revenue recognition. Some customers have the option to purchase additional subscription services at a stated price. These options are evaluated on a case-by-case basis but generally do not provide a material right as they do not provide a discount to the customer that is incremental to the range of discounts typically given for the same services that are sold to a similar class of customers, even when the stand-alone selling price of the services subject to the option is highly variable.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Company’s contracts with customers generally include one combined performance obligation, its core subscription offering, which is a series of distinct services transferred to the customer ratably over the respective obligation’s term. Other performance obligations that may be identified in contracts include professional services. As of December 31, 2022, the unrecognized transaction price related to remaining performance obligations was $248.2 million.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remaining performance obligations as of December 31, 2022 are expected to be recognized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5"/>
        </w:trPr>
        <w:tc>
          <w:tcPr>
            <w:tcW w:w="58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41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190,595</w:t>
            </w:r>
          </w:p>
        </w:tc>
        <w:tc>
          <w:tcPr>
            <w:tcW w:w="2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12 months</w:t>
            </w:r>
          </w:p>
        </w:tc>
        <w:tc>
          <w:tcPr>
            <w:tcW w:w="4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57,581</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4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248,176</w:t>
            </w:r>
          </w:p>
        </w:tc>
        <w:tc>
          <w:tcPr>
            <w:tcW w:w="28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180" w:type="dxa"/>
            <w:vAlign w:val="bottom"/>
          </w:tcPr>
          <w:p>
            <w:pPr>
              <w:jc w:val="right"/>
              <w:ind w:right="291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-453390</wp:posOffset>
            </wp:positionV>
            <wp:extent cx="596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-436245</wp:posOffset>
            </wp:positionV>
            <wp:extent cx="596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disaggregation of revenue by geographic areas, as determined based on the billing address of its customers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2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146,415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107,244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65,189</w:t>
            </w:r>
          </w:p>
        </w:tc>
        <w:tc>
          <w:tcPr>
            <w:tcW w:w="100" w:type="dxa"/>
            <w:vAlign w:val="bottom"/>
            <w:shd w:val="clear" w:color="auto" w:fill="CFF0FC"/>
          </w:tcPr>
          <w:p>
            <w:pPr>
              <w:spacing w:after="0"/>
              <w:rPr>
                <w:sz w:val="21"/>
                <w:szCs w:val="21"/>
                <w:color w:val="auto"/>
              </w:rPr>
            </w:pP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60,017</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37,275</w:t>
            </w:r>
          </w:p>
        </w:tc>
        <w:tc>
          <w:tcPr>
            <w:tcW w:w="100" w:type="dxa"/>
            <w:vAlign w:val="bottom"/>
          </w:tcPr>
          <w:p>
            <w:pPr>
              <w:spacing w:after="0"/>
              <w:rPr>
                <w:sz w:val="21"/>
                <w:szCs w:val="21"/>
                <w:color w:val="auto"/>
              </w:rPr>
            </w:pPr>
          </w:p>
        </w:tc>
      </w:tr>
      <w:tr>
        <w:trPr>
          <w:trHeight w:val="277"/>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167,261</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Accounts receivable are primarily comprised of cash due from customers and are recorded at the invoiced amount, net of an allowance for doubtful accounts. The Company has a well-established collections history from its customers. Credit is extended to customers based on an evaluation of their financial condition and other factors. In determining the necessary allowance for doubtful accounts, the Company estimates the lifetime expected credit losses against the existing accounts receivable balance. The Company's estimate is based on certain factors including historical loss rates, current economic conditions, reasonable and supportable forecasts, and customer-specific circumstances. The Company maintained an allowance of $0.7 million and $0.1 million for doubtful accounts as of December 31, 2022 and 2021, respectively. The movements in the allowance for doubtful accounts were not material for any of the periods presented. The Company does not have any off-balance-sheet credit exposure related to its customers.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 and Significant Customers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subject the Company to concentrations of credit risk consist primarily of cash,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No customer accounted for 10% or more of total revenue for the years ended December 31, 2022, 2021, and 2020. As of the year ended December 31, 2022, no customers represented 10% or more of accounts receivable. As of the year ended December 31, 2021, one customer represented 10% of accounts receivable.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Deferred revenue consists of billings of payments received in advance of revenue recognition and is recognized when, or as, performance obligations are satisfied. The Company generally invoices its customers annually or in semi-annual, quarterly, or monthly installments. Accordingly, the deferred revenue balance does not represent the total contract value of annual non-cancellable subscription agreements. The amount of revenue recognized in the years ended December 31, 2022 and 2021 that was included in deferred revenue at the beginning of the period was $68.8 million and $40.7 million,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sales commissions that are recoverable and incremental due to the acquisition of customer contracts. The Company determines whether costs should be deferred based on its sales compensation plans, if the commissions are in fact incremental and would not have occurred absent the customer contract.</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Commissions paid upon the initial acquisition of a contract are deferred and then amortized on a straight-line basis over a period of benefit, determined to be five years. The period of benefit is estimated by considering factors such as the expected life of our subscription contracts, historical customer attrition rates, technological life of our platform, as well as other factors. Sales commissions for renewal of a subscription contract are not considered commensurate with the commissions paid for the acquisition of the initial subscription contract given the substantive difference in commission rates between new and renewal contracts. The Company determines the period of benefit for renewal subscription contracts by considering the contractual term for renewal contracts.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77" w:name="page78"/>
    <w:bookmarkEnd w:id="77"/>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Amounts anticipated to be recognized within 12 months of the balance sheet date are recorded as deferred commissions, current, with the remaining portion recorded as deferred commissions, noncurrent, in the consolidated balance sheets. Amortization of deferred commissions is included in sales and marketing expense in the consolidated statement of operations and comprehensive loss. The Company periodically reviews these deferred commissions to determine whether events or changes in circumstances have occurred that could impact recoverability or the period of benefit. There were no impairment losses recorded during the periods presented.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a rollforward of the Company’s deferred commissions as of December 31, 2022 and 2021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31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50"/>
        </w:trPr>
        <w:tc>
          <w:tcPr>
            <w:tcW w:w="69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28,685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19,440</w:t>
            </w:r>
          </w:p>
        </w:tc>
        <w:tc>
          <w:tcPr>
            <w:tcW w:w="100" w:type="dxa"/>
            <w:vAlign w:val="bottom"/>
            <w:shd w:val="clear" w:color="auto" w:fill="CFF0FC"/>
          </w:tcPr>
          <w:p>
            <w:pPr>
              <w:spacing w:after="0"/>
              <w:rPr>
                <w:sz w:val="21"/>
                <w:szCs w:val="21"/>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commissions</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17,740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100" w:type="dxa"/>
            <w:vAlign w:val="bottom"/>
          </w:tcPr>
          <w:p>
            <w:pPr>
              <w:spacing w:after="0"/>
              <w:rPr>
                <w:sz w:val="20"/>
                <w:szCs w:val="20"/>
                <w:color w:val="auto"/>
              </w:rPr>
            </w:pPr>
          </w:p>
        </w:tc>
      </w:tr>
      <w:tr>
        <w:trPr>
          <w:trHeight w:val="247"/>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9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(9,708 )</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(6,832 )</w:t>
            </w:r>
          </w:p>
        </w:tc>
      </w:tr>
      <w:tr>
        <w:trPr>
          <w:trHeight w:val="236"/>
        </w:trPr>
        <w:tc>
          <w:tcPr>
            <w:tcW w:w="6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36,717</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28,685</w:t>
            </w:r>
          </w:p>
        </w:tc>
        <w:tc>
          <w:tcPr>
            <w:tcW w:w="100" w:type="dxa"/>
            <w:vAlign w:val="bottom"/>
            <w:tcBorders>
              <w:top w:val="single" w:sz="8" w:color="CFF0FC"/>
            </w:tcBorders>
          </w:tcPr>
          <w:p>
            <w:pPr>
              <w:spacing w:after="0"/>
              <w:rPr>
                <w:sz w:val="20"/>
                <w:szCs w:val="20"/>
                <w:color w:val="auto"/>
              </w:rPr>
            </w:pPr>
          </w:p>
        </w:tc>
      </w:tr>
      <w:tr>
        <w:trPr>
          <w:trHeight w:val="237"/>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commissions, current portion</w:t>
            </w:r>
          </w:p>
        </w:tc>
        <w:tc>
          <w:tcPr>
            <w:tcW w:w="9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10,918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shd w:val="clear" w:color="auto" w:fill="CFF0FC"/>
          </w:tcPr>
          <w:p>
            <w:pPr>
              <w:spacing w:after="0"/>
              <w:rPr>
                <w:sz w:val="20"/>
                <w:szCs w:val="20"/>
                <w:color w:val="auto"/>
              </w:rPr>
            </w:pPr>
          </w:p>
        </w:tc>
      </w:tr>
      <w:tr>
        <w:trPr>
          <w:trHeight w:val="24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commissions, net of current portion</w:t>
            </w: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25,799</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100" w:type="dxa"/>
            <w:vAlign w:val="bottom"/>
          </w:tcPr>
          <w:p>
            <w:pPr>
              <w:spacing w:after="0"/>
              <w:rPr>
                <w:sz w:val="21"/>
                <w:szCs w:val="21"/>
                <w:color w:val="auto"/>
              </w:rPr>
            </w:pPr>
          </w:p>
        </w:tc>
      </w:tr>
      <w:tr>
        <w:trPr>
          <w:trHeight w:val="277"/>
        </w:trPr>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commissions</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36,717</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-668020</wp:posOffset>
            </wp:positionV>
            <wp:extent cx="5969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-668020</wp:posOffset>
            </wp:positionV>
            <wp:extent cx="6032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Cost of revenue primarily consists of costs related to third-party hosting costs; employee-related expenses, including salaries, stock-based compensation and benefits for operations and support personnel; software license fees; certain developed technology and acquired developed software amortization; and allocated overhead.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Company’s costs related to research, design, maintenance, and minor enhancements of the Company’s platform are expensed as incurred. These costs consist primarily of personnel-related expenses, including stock-based compensation and allocated overhead costs, contractor and consulting fees related to the design, development, testing, and enhancements of the Company’s platform, and software, hardware, and cloud infrastructure fees for staging and development related to research and development activities necessary to support growth in the Company’s employee base and in the adoption of its platform.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expenses all advertising costs as incurred as a component of sales and marketing expenses. Advertising expenses of $5.8 million, $4.5 million, and $2.0 million were incurred during the years ended December 31, 2022, 2021, and 2020,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00" w:firstLine="509"/>
        <w:spacing w:after="0" w:line="273" w:lineRule="auto"/>
        <w:rPr>
          <w:sz w:val="20"/>
          <w:szCs w:val="20"/>
          <w:color w:val="auto"/>
        </w:rPr>
      </w:pPr>
      <w:r>
        <w:rPr>
          <w:rFonts w:ascii="Times New Roman" w:cs="Times New Roman" w:eastAsia="Times New Roman" w:hAnsi="Times New Roman"/>
          <w:sz w:val="17"/>
          <w:szCs w:val="17"/>
          <w:color w:val="auto"/>
        </w:rPr>
        <w:t>The Company records stock-based compensation expense for all stock-based awards, including stock options, restricted stock units (“RSUs”) and purchase rights issued under the 2021 Employee Stock Purchase Plan (“ESPP”), made to employees, non-employees, and directors based on estimated fair values recognized over the requisite service period. The Company measures and recognizes compensation expense for all stock-based payment awards granted to employees, directors, and non-employees based on the estimated fair values on the date of the grant and vesting criteria. For options, vesting is typically over a four-year period and is contingent upon continued employment on each vesting date. In general, options granted to employees vest 25% after the first year of service and ratably each month over the remaining 36-month period. For RSUs, vesting is typically over a three-year period and is contingent upon continued employment on each vesting date. In general, RSUs granted to employees vest ratably each quarter over the 36-month period.</w:t>
      </w:r>
    </w:p>
    <w:p>
      <w:pPr>
        <w:spacing w:after="0" w:line="17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expense for service-based stock-based awards as an expense over the employee’s or director’s requisite service period on a straight-line basis. The Company also had certain options and awards that have performance-based vesting conditions upon certain liquidity events. As a result of the Direct Listing, the liquidity event was met for all outstanding awards with a performance condition and were expensed using the accelerated attribution method. Forfeitures are accounted for as they occur. Stock-based compensation expense is allocated to cost of revenue and operating expenses on the consolidated statements of operations based on where the associated employee’s functional department is located.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8" w:name="page79"/>
    <w:bookmarkEnd w:id="78"/>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fair value of stock options granted under the 2021 Plan and purchase rights issued under the ESPP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For stock options considered to be “plain vanilla” options, the Company estimates the expected term based on the simplified method, which is essentially the weighted average of the vesting period and contractual term, as the Company's historical option exercise experience does not provide a reasonable basis upon which to estimate the expected term.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or purchase right. The Company’s expected dividend yield input is zero as it has not historically paid, nor does it expect in the future to pay, cash dividends on its common stock. Stock-based compensation expense for RSUs granted under the 2021 Plan is measured based on the fair value of the underlying shares on the date of grant.</w:t>
      </w:r>
    </w:p>
    <w:p>
      <w:pPr>
        <w:spacing w:after="0" w:line="19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fair value of options granted under the 2014 Plan are estimated on the grant date using the Monte Carlo simulation model. The determination of the grant date fair value is affected by the estimated fair value of the Company’s common stock as well as additional assumptions regarding a number of other subjective variables. These variables include expected stock price volatility over a contractual term, actual and projected employee stock option exercise behaviors, the risk-free interest rate for a contractual term, and expected dividends. Stock-based compensation expense for RSUs granted under the 2014 Plan is measured based on the fair value of the underlying shares on the date of grant.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income in the period that includes the enactment date. Valuation allowances are established for deferred tax assets to the extent it is more likely than not that the deferred tax assets may not be realized.</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uncertain tax positions taken or expected to be taken in the course of preparing its tax return to determine whether the tax positions are more likely than not of being sustained upon challenge by the applicable tax authority.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Cash and cash equivalents are stated at fair value. Restricted cash represents cash held to collateralize lease obligations related to the Company's property leases. As of December 31, 2022 and 2021, $0.9 million of restricted cash is recorded as noncurrent assets. The following table represents the Company's cash, cash equivalents, and restricted cash at each period end (in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0" w:type="dxa"/>
            <w:vAlign w:val="bottom"/>
          </w:tcPr>
          <w:p>
            <w:pPr>
              <w:spacing w:after="0"/>
              <w:rPr>
                <w:sz w:val="20"/>
                <w:szCs w:val="20"/>
                <w:color w:val="auto"/>
              </w:rPr>
            </w:pPr>
          </w:p>
        </w:tc>
      </w:tr>
      <w:tr>
        <w:trPr>
          <w:trHeight w:val="250"/>
        </w:trPr>
        <w:tc>
          <w:tcPr>
            <w:tcW w:w="69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218,494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307,445</w:t>
            </w:r>
          </w:p>
        </w:tc>
        <w:tc>
          <w:tcPr>
            <w:tcW w:w="100" w:type="dxa"/>
            <w:vAlign w:val="bottom"/>
            <w:shd w:val="clear" w:color="auto" w:fill="CFF0FC"/>
          </w:tcPr>
          <w:p>
            <w:pPr>
              <w:spacing w:after="0"/>
              <w:rPr>
                <w:sz w:val="21"/>
                <w:szCs w:val="21"/>
                <w:color w:val="auto"/>
              </w:rPr>
            </w:pPr>
          </w:p>
        </w:tc>
      </w:tr>
      <w:tr>
        <w:trPr>
          <w:trHeight w:val="24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r>
      <w:tr>
        <w:trPr>
          <w:trHeight w:val="27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219,349</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Investments in marketable securities consist of commercial paper, corporate notes, and bonds, as well as U.S. Treasury and government agency securities. Management determines the appropriate classification of investments at the time of purchase and reevaluates such determination at each balance sheet date. Marketable securities are classified as available-for-sale and are carried at fair value in the consolidated balance sheets and are classified as short-term or long-term based on their remaining contractual maturities.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9" w:name="page80"/>
    <w:bookmarkEnd w:id="79"/>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its investments with unrealized loss positions at the individual security level to determine whether the unrealized loss was related to credit or noncredit factors. The Company considers whether a credit loss exists based on the extent of the unrealized loss position, any adverse conditions specifically related to the security or the issuer's operating environment, pay structure of the security, the issuer's payment history and any changes in the issuer's credit rating. Estimated credit losses are determined using a discounted cash flow model and recorded as an allowance, with changes in expected credit losses on the Company's investments recorded in “Other income, net” in the consolidated statements of operations and comprehensive loss. Unrealized gains and losses related to noncredit factors are reflected in “Accumulated other comprehensive loss” on the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7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 that are accessible at the measurement date for assets or liabilities; the fair value hierarchy gives the highest priority to Level 1 inputs.</w:t>
      </w:r>
    </w:p>
    <w:p>
      <w:pPr>
        <w:spacing w:after="0" w:line="162" w:lineRule="exact"/>
        <w:rPr>
          <w:sz w:val="20"/>
          <w:szCs w:val="20"/>
          <w:color w:val="auto"/>
        </w:rPr>
      </w:pPr>
    </w:p>
    <w:p>
      <w:pPr>
        <w:jc w:val="both"/>
        <w:ind w:right="320" w:firstLine="509"/>
        <w:spacing w:after="0" w:line="312" w:lineRule="auto"/>
        <w:rPr>
          <w:sz w:val="20"/>
          <w:szCs w:val="20"/>
          <w:color w:val="auto"/>
        </w:rPr>
      </w:pPr>
      <w:r>
        <w:rPr>
          <w:rFonts w:ascii="Times New Roman" w:cs="Times New Roman" w:eastAsia="Times New Roman" w:hAnsi="Times New Roman"/>
          <w:sz w:val="17"/>
          <w:szCs w:val="17"/>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0"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Level 3 – Unobservable inputs for the asset or liability used to measure fair value to the extent that observable inputs are not available, thereby allowing for situations in which there is little, if any, market activity for the asset or liability at the measurement date; the fair value hierarchy gives the lowest priority to Level 3 inputs.</w:t>
      </w:r>
    </w:p>
    <w:p>
      <w:pPr>
        <w:spacing w:after="0" w:line="176"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Observable inputs are based on market data obtained from independent sources. The fair value of cash, cash equivalents, restricted cash, accounts receivable, accounts payable, and accrued liabilities approximated their carrying values as of December 31, 2022 and 2021 due to their short-term nature. The fair values of all of these instruments are categorized as Level 1 in the fair value hierarchy. The fair value of the Company's marketable securities as categorized by the fair value level hierarchy is detailed in Note 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applies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 When the Company acquires a business, the purchase consideration is allocated to the tangible assets acquired, liabilities assumed, and intangible assets acquired based on their estimated respective fair value based on the acquisition method of accounting. The excess of the fair value of purchase consideration over the values of these identifiable assets and liabilities is recorded as goodwill. When determining the fair value of assets acquired and liabilities assumed, management makes significant estimates and assumptions, particularly to acquired intangible assets. These assumptions include, but are not limited to, reproduction costs and appropriate discount rates. Management’s estimates of fair value are based upon assumptions believed to be reasonable, but which are inherently uncertain and unpredictable and, as a result, actual results may differ from estimates. Acquisition costs, such as legal and consulting fees, are expensed as incurred. During the measurement period, the Company may record adjustments to the assets acquired and liabilities assumed, with the corresponding offset to goodwill. Upon the conclusion of the measurement period, any subsequent adjustments are recorded in the consolidated statement of operations and comprehensive loss.</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Acquired Intangible Assets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connection with business combinations accounted for using the acquisition method of accounting. The Company has one reporting unit and performs testing of goodwill in the fourth quarter of each year, or as events occur or circumstances change that would more likely than not reduce the fair value of a reporting unit below its carrying amount. These triggering events that may indicate impairment include, but are not limited to, a significant adverse change in customer demand or business climate that could affect the value of goodwill or a significant decrease in expected cash flows. The Company’s test for goodwill impairment starts with a qualitative assessment to determine whether it is necessary to perform the quantitative goodwill impairment test. If the Company determines, based on the qualitative factors, that the fair value of the reporting unit is more likely than not less than the carrying amount, then a quantitative goodwill impairment test is required. There were no impairments of goodwill recorded for the years ended December 31, 2022, 2021, and 2020. There were no other changes in goodwill other than additions from acquisitions during the year ended December 31, 2021 as detailed in Note 4.</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Intangible assets mainly consist of developed technology resulting from the Company’s acquisitions. Acquired intangible assets are recorded at cost, net of accumulated amortization. Intangible assets are amortized on a straight-line basis over their estimated useful lives, which was determined to be three years for all acquired intangibles. For developed technology, amortization costs were included within cost of revenue in the consolidated statements of operations upon the related product release date. Long-lived assets, including intangible assets, are reviewed for impairment whenever events or changes in circumstances indicate that the carrying amount of the asset may not be recoverable. There was no impairment of intangible assets recorded for the years ended December 31, 2022, 2021, and 2020.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calculated on a straight-line basis over the estimated useful lives of those assets, as follows: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9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80" w:type="dxa"/>
            <w:vAlign w:val="bottom"/>
          </w:tcPr>
          <w:p>
            <w:pPr>
              <w:spacing w:after="0"/>
              <w:rPr>
                <w:sz w:val="21"/>
                <w:szCs w:val="21"/>
                <w:color w:val="auto"/>
              </w:rPr>
            </w:pPr>
          </w:p>
        </w:tc>
        <w:tc>
          <w:tcPr>
            <w:tcW w:w="496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4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80" w:type="dxa"/>
            <w:vAlign w:val="bottom"/>
            <w:shd w:val="clear" w:color="auto" w:fill="CFF0FC"/>
          </w:tcPr>
          <w:p>
            <w:pPr>
              <w:spacing w:after="0"/>
              <w:rPr>
                <w:sz w:val="21"/>
                <w:szCs w:val="21"/>
                <w:color w:val="auto"/>
              </w:rPr>
            </w:pPr>
          </w:p>
        </w:tc>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4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spacing w:after="0"/>
              <w:rPr>
                <w:sz w:val="21"/>
                <w:szCs w:val="21"/>
                <w:color w:val="auto"/>
              </w:rPr>
            </w:pPr>
          </w:p>
        </w:tc>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Shorter of remaining lease term or 5 years</w:t>
            </w: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Software including internal-use software</w:t>
            </w:r>
          </w:p>
        </w:tc>
        <w:tc>
          <w:tcPr>
            <w:tcW w:w="18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23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Maintenance and repairs are charged to expense as incurred and improvements are capitalized. When assets are retired or otherwise disposed of, the cost and accumulated depreciation is removed from the accounts and any resulting gain or loss is reflected in the statements of operations and comprehensive loss for the period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Leases arise from contractual obligations that convey the right to control the use of identified property, plant or equipment for a period of time in exchange for consideration. The Company determines whether an arrangement is or contains a lease at inception, based on whether there is an identified asset and whether the Company controls the use of the identified asset throughout the period of use. At lease commencement date, the Company determines lease classification between finance and operating, allocates the consideration to the lease and non-lease components and recognizes a right-of-use (“ROU”) asset and corresponding lease liability for each lease component. ROU assets represent the Company’s right to use an underlying asset for the lease term and lease liabilities represent the Company’s obligation to make lease payments based on the lease contracts.</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Operating lease ROU assets and liabilities were recognized at adoption date or lease commencement date, if the commencement date was after January 1, 2022, based on the present value of lease payments over the remaining lease term. The Company’s lease contracts do not provide an implicit rate, as such the Company used its incremental borrowing rate based on the information available at adoption date or lease commencement date, if the commencement date was after January 1, 2022, in determining the present value of lease payments. The operating lease ROU assets also include any lease payments made to the lessors at or before the lease commencement date, and excludes lease incentives. The lease terms may include options to extend or terminate the lease when it is reasonably certain that the Company will exercise that option.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lease liability is initially measured as the present value of the remaining lease payments over the lease term. The discount rate used to determine the present value is the Company's incremental borrowing rate unless the interest rate implicit in the lease is readily determinable. The Company estimates the incremental borrowing rate based on the information available at lease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1" w:name="page82"/>
    <w:bookmarkEnd w:id="81"/>
    <w:p>
      <w:pPr>
        <w:ind w:right="40"/>
        <w:spacing w:after="0" w:line="261" w:lineRule="auto"/>
        <w:rPr>
          <w:sz w:val="20"/>
          <w:szCs w:val="20"/>
          <w:color w:val="auto"/>
        </w:rPr>
      </w:pPr>
      <w:r>
        <w:rPr>
          <w:rFonts w:ascii="Times New Roman" w:cs="Times New Roman" w:eastAsia="Times New Roman" w:hAnsi="Times New Roman"/>
          <w:sz w:val="18"/>
          <w:szCs w:val="18"/>
          <w:color w:val="auto"/>
        </w:rPr>
        <w:t>commencement date for borrowings with a similar term. The ROU asset is initially measured as the present value of the lease payments, adjusted for initial direct costs, prepaid lease payments to lessors and lease incentives. The operating lease right-of-use assets and liabilities recognized at January 1, 2022, the adoption date, were based on the present value of lease payments over the remaining lease term as of that date, using the incremental borrowing rate as of that date.</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elected the practical expedients to not recognize right-of-use assets and liabilities for leases with a term of less than twelve months and to not separate non-lease components from the associated lease components for the Company's office leases and certain other asset classes. The total consideration includes fixed payments and contractual escalation provisions. The Company is responsible for maintenance, insurance, property taxes and other variable payments, which are expensed as incurred. The Company's leases include options to renew or terminate. The Company includes the option to renew or terminate in the determination of the lease term when the option is deemed to be reasonably certain that the Company will exercise that option. The Company accounts for changes in the expected lease term as a modification of the original contract.</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Operating leases are classified in “Operating lease right-of-use assets” and “Operating lease liabilities, noncurrent” on the Company's consolidated balance sheets. The current balance of the operating lease liabilities is included within “Accrued expenses” on the Company's consolidated balance sheets. Operating lease expense is recognized on a straight-line basis over the expected lease term and included in “Operating expenses” in the Company's consolidated statements of operations and comprehensive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Costs</w:t>
      </w:r>
    </w:p>
    <w:p>
      <w:pPr>
        <w:spacing w:after="0" w:line="121"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The Company capitalizes development costs related to its platform and certain other projects for internal use. The Company considered the guidance set forth in Financial Accounting Standards Board (“FASB”) Accounting Standards Codification (“ASC”) Subtopic 350-40-15, </w:t>
      </w:r>
      <w:r>
        <w:rPr>
          <w:rFonts w:ascii="Times New Roman" w:cs="Times New Roman" w:eastAsia="Times New Roman" w:hAnsi="Times New Roman"/>
          <w:sz w:val="17"/>
          <w:szCs w:val="17"/>
          <w:i w:val="1"/>
          <w:iCs w:val="1"/>
          <w:color w:val="auto"/>
        </w:rPr>
        <w:t>Accounting for the Cost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Computer Software Developed or Obtained for Internal Use</w:t>
      </w:r>
      <w:r>
        <w:rPr>
          <w:rFonts w:ascii="Times New Roman" w:cs="Times New Roman" w:eastAsia="Times New Roman" w:hAnsi="Times New Roman"/>
          <w:sz w:val="17"/>
          <w:szCs w:val="17"/>
          <w:color w:val="auto"/>
        </w:rPr>
        <w:t>, which requires companies to capitalize qualifying computer software costs that are incurred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application development stage, and then amortize them over the software’s estimated useful life. Costs related to preliminary project activities and post-implementation activities are expensed as incurred. Capitalized internal-use software costs are included in “Property and equipment, net” on our consolidated balance sheets and are amortized on a straight-line basis over its estimated useful life into cost of revenue within the consolidated statements of operation. All software development costs prior to capitalization have been recorded in research and development expense in the consolidated statements of operations. There was no impairment to capitalized internal-use software costs during the years ended December 31, 2022, 2021, and 2020.</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evaluates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comparison of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No impairment loss on long-lived assets was recognized in the years ended December 31, 2022, 2021, and 2020.</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computed in conformity with the two-class method required for participating securities. Prior to the automatic conversion of all of its redeemable convertible preferred stock outstanding into Class B common stock concurrent with the Direct Listing, the Company considered all series of its redeemable convertible preferred stock to be participating securities as the holders of such stock have the right to receive nonforfeitable dividends on a ratable basis in the event that a dividend is paid on common stock. Under the two-class method, the net loss attributable to common stockholders is not allocated to the redeemable convertible preferred stock as the preferred stockholders do not have a contractual obligation to share in the Company’s losses.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stock equivalents to the extent they are dilutive. For purposes of this calculation, redeemable convertible preferred stock, stock options, early exercised stock options, RSUs, ESPP purchase rights and common stock warrants have been excluded from the calculation of diluted net loss per share attributable to common stockholders as their effect is anti-dilutive for all periods presented.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delivers its applications over the internet as a subscription service using a SaaS model. Each subscription is subject to the terms of the contractual arrangement with the customer and often includes certain provisions for holding the customer harmless against and indemnifying the customer from costs, damages, losses, liabilities, and expenses arising from claims that the Company’s software infringes upon a copyright, trademark, or other trade secret rights, and third-party claims arising from the Company’s breach of the contract. Customers also indemnify the Company for claims relating their improper use of the service or intellectual property claims originating from customer actions or content.</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not incurred any expense in defense or reimbursement of any of its customers for losses related to indemnification provisions, and no material claims against the Company are outstanding as of December 31, 2022, 2021, and 2020. The Company’s exposure under these indemnification provisions is often capped at a fixed amount in many customer agreements and uncapped in others. Due primarily to the lack of history of prior indemnification claims and the unique facts and circumstances involved in each particular contractual arrangement, the Company has determined that potential costs related to indemnification are not probable or estimable and, as such, has not recorded a reserve for the years ended December 31, 2022 and 2021.</w:t>
      </w:r>
    </w:p>
    <w:p>
      <w:pPr>
        <w:spacing w:after="0" w:line="18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in the ordinary course of business, the Company may provide indemnifications of varying scope and terms to vendors, directors, officers, and other parties with respect to certain matters. The Company has not incurred any material costs as a result of such indemnifications and have not accrued any liabilities related to such obligations in its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For certain customers, the Company provides a performance warranty for accessibility to the Company’s platform as identified in an order form during the order duration. The Company’s software products are generally warranted for certain customers to substantially conform to the specifications set forth in the related customer contract and published documentation. In the event there is a failure of such warranties, the Company generally will correct the problem or provide a reasonable workaround or replacement product. The Company has the standard 30-day cure period for failures that amount to a material breach, and no warranted time frame for nonmaterial failures. If the Company cannot correct or provide a workaround or replacement product for material failures within the cure period, then the customer’s remedy is generally limited to termination of the contractual arrangement related to the nonconforming product services with a pro rata refund of the related fees paid. The Company has not incurred significant expense under these service warranties, nor does it expect that any future expense is probable. Accordingly, the Company has determined that potential costs related to warranties are not probable or estimable and, as such, has not recorded a reserve as of December 31, 2022 and 2021.</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No. 2016-02, </w:t>
      </w:r>
      <w:r>
        <w:rPr>
          <w:rFonts w:ascii="Times New Roman" w:cs="Times New Roman" w:eastAsia="Times New Roman" w:hAnsi="Times New Roman"/>
          <w:sz w:val="18"/>
          <w:szCs w:val="18"/>
          <w:i w:val="1"/>
          <w:iCs w:val="1"/>
          <w:color w:val="auto"/>
        </w:rPr>
        <w:t>Leases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842)</w:t>
      </w:r>
      <w:r>
        <w:rPr>
          <w:rFonts w:ascii="Times New Roman" w:cs="Times New Roman" w:eastAsia="Times New Roman" w:hAnsi="Times New Roman"/>
          <w:sz w:val="18"/>
          <w:szCs w:val="18"/>
          <w:color w:val="auto"/>
        </w:rPr>
        <w:t>, which requires companies to recognize lease liabilities and corresponding right-of-use leased assets on the balance sheets and to disclose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leasing arrangements. Qualitative and quantitative disclosures will be enhanced to better understand the amount, timing, and uncertainty of cash flows arising from leases. ASU No. 2016-02 is effective for annual periods beginning after December 15, 2021, with early adoption permitted.</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in 2018 and 2019, the FASB issued the following Topic 842–related ASUs:</w:t>
      </w:r>
    </w:p>
    <w:p>
      <w:pPr>
        <w:spacing w:after="0" w:line="115" w:lineRule="exact"/>
        <w:rPr>
          <w:sz w:val="20"/>
          <w:szCs w:val="20"/>
          <w:color w:val="auto"/>
        </w:rPr>
      </w:pPr>
    </w:p>
    <w:p>
      <w:pPr>
        <w:ind w:left="1020" w:right="300" w:hanging="503"/>
        <w:spacing w:after="0" w:line="284"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2018-01,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which clarifies the applicability of Topic 842 to land easements and provides an optional transition practical expedient for existing land easements;</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which makes certain technical corrections to Topic 842;</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allows companies to adopt Topic 842 without revising comparative period reporting or disclosures and provides an optional practical expedient to lessors to not separate lease and non-lease components of a contract if certain criteria are met; and</w:t>
      </w:r>
    </w:p>
    <w:p>
      <w:pPr>
        <w:spacing w:after="0" w:line="65" w:lineRule="exact"/>
        <w:rPr>
          <w:rFonts w:ascii="Times New Roman" w:cs="Times New Roman" w:eastAsia="Times New Roman" w:hAnsi="Times New Roman"/>
          <w:sz w:val="18"/>
          <w:szCs w:val="18"/>
          <w:color w:val="auto"/>
        </w:rPr>
      </w:pPr>
    </w:p>
    <w:p>
      <w:pPr>
        <w:ind w:left="1020" w:right="340" w:hanging="503"/>
        <w:spacing w:after="0" w:line="267"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2019-01, </w:t>
      </w:r>
      <w:r>
        <w:rPr>
          <w:rFonts w:ascii="Times New Roman" w:cs="Times New Roman" w:eastAsia="Times New Roman" w:hAnsi="Times New Roman"/>
          <w:sz w:val="18"/>
          <w:szCs w:val="18"/>
          <w:i w:val="1"/>
          <w:iCs w:val="1"/>
          <w:color w:val="auto"/>
        </w:rPr>
        <w:t>Leases (Topic 842): Codification Improvements</w:t>
      </w:r>
      <w:r>
        <w:rPr>
          <w:rFonts w:ascii="Times New Roman" w:cs="Times New Roman" w:eastAsia="Times New Roman" w:hAnsi="Times New Roman"/>
          <w:sz w:val="18"/>
          <w:szCs w:val="18"/>
          <w:color w:val="auto"/>
        </w:rPr>
        <w:t>, which provides guidance for certain lessors on determining the fair value of an underlying asset in a lease and on the cash flow statement presentation of lease payments received; ASU No. 2019-01 also clarifies disclosures required in interim periods after adoption of ASU No. 2016-02 in the year of adoption.</w:t>
      </w:r>
    </w:p>
    <w:p>
      <w:pPr>
        <w:spacing w:after="0" w:line="1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adopted the new standard as of January 1, 2022, and recognized a cumulative-effect adjustment to the opening balance of accumulated deficit as of adoption date. The Company elected the optional transition approach to not apply Topic 842 in the comparative periods presented. The Company elected the relief package of practical expedients to not reassess whether existing contracts contain leases, the lease term and classification for existing leases, and whether existing initial direct costs meet the new definition. The adoption of Topic 842 resulted in the recognition of total right-of-use of $11.6 million and total lease liabilities of $13.2 million as of the date of adoption. Additionally, the Company has derecognized $1.6 million in deferred rent upon adoption of this standard. The adoption of Topic 842 did not have a material impact to the consolidated statements of operations and comprehensive loss or statements of cash flows.</w:t>
      </w:r>
    </w:p>
    <w:p>
      <w:pPr>
        <w:spacing w:after="0" w:line="18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w:t>
      </w:r>
      <w:r>
        <w:rPr>
          <w:rFonts w:ascii="Times New Roman" w:cs="Times New Roman" w:eastAsia="Times New Roman" w:hAnsi="Times New Roman"/>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The Company early adopted the standard as of January 1, 2022. The adoption of ASC 350 did not have a material impact to the consolidated financial statements.</w:t>
      </w:r>
    </w:p>
    <w:p>
      <w:pPr>
        <w:spacing w:after="0" w:line="18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January 1, 2022, the Company adopted ASU No. 2016-13, </w:t>
      </w:r>
      <w:r>
        <w:rPr>
          <w:rFonts w:ascii="Times New Roman" w:cs="Times New Roman" w:eastAsia="Times New Roman" w:hAnsi="Times New Roman"/>
          <w:sz w:val="18"/>
          <w:szCs w:val="18"/>
          <w:i w:val="1"/>
          <w:iCs w:val="1"/>
          <w:color w:val="auto"/>
        </w:rPr>
        <w:t>Financial Instruments-Credit Losses (Topic 326): 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which requires the measurement and recognition of expected credit losses for financial assets held at amortized cost,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receivables.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adoption of Topic 326 did not have a material impact to the consolidated financial statements.</w:t>
      </w:r>
    </w:p>
    <w:p>
      <w:pPr>
        <w:spacing w:after="0" w:line="289"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show the Company’s financial statement details as of December 31, 2022 and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5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hosting</w:t>
            </w:r>
          </w:p>
        </w:tc>
        <w:tc>
          <w:tcPr>
            <w:tcW w:w="272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26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27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10,576</w:t>
            </w:r>
          </w:p>
        </w:tc>
        <w:tc>
          <w:tcPr>
            <w:tcW w:w="2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4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tc>
        <w:tc>
          <w:tcPr>
            <w:tcW w:w="27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20,335</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19,116</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72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84</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-453390</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-436880</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-436880</wp:posOffset>
            </wp:positionV>
            <wp:extent cx="603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6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6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92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shd w:val="clear" w:color="auto" w:fill="CFF0FC"/>
          </w:tcPr>
          <w:p>
            <w:pPr>
              <w:spacing w:after="0"/>
              <w:rPr>
                <w:sz w:val="21"/>
                <w:szCs w:val="21"/>
                <w:color w:val="auto"/>
              </w:rPr>
            </w:pPr>
          </w:p>
        </w:tc>
      </w:tr>
      <w:tr>
        <w:trPr>
          <w:trHeight w:val="239"/>
        </w:trPr>
        <w:tc>
          <w:tcPr>
            <w:tcW w:w="6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r>
      <w:tr>
        <w:trPr>
          <w:trHeight w:val="247"/>
        </w:trPr>
        <w:tc>
          <w:tcPr>
            <w:tcW w:w="60" w:type="dxa"/>
            <w:vAlign w:val="bottom"/>
          </w:tcPr>
          <w:p>
            <w:pPr>
              <w:spacing w:after="0"/>
              <w:rPr>
                <w:sz w:val="21"/>
                <w:szCs w:val="21"/>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FF0FC"/>
          </w:tcPr>
          <w:p>
            <w:pPr>
              <w:spacing w:after="0"/>
              <w:rPr>
                <w:sz w:val="21"/>
                <w:szCs w:val="21"/>
                <w:color w:val="auto"/>
              </w:rPr>
            </w:pPr>
          </w:p>
        </w:tc>
      </w:tr>
      <w:tr>
        <w:trPr>
          <w:trHeight w:val="239"/>
        </w:trPr>
        <w:tc>
          <w:tcPr>
            <w:tcW w:w="6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47"/>
        </w:trPr>
        <w:tc>
          <w:tcPr>
            <w:tcW w:w="60" w:type="dxa"/>
            <w:vAlign w:val="bottom"/>
          </w:tcPr>
          <w:p>
            <w:pPr>
              <w:spacing w:after="0"/>
              <w:rPr>
                <w:sz w:val="21"/>
                <w:szCs w:val="21"/>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Internal-use software</w:t>
            </w:r>
          </w:p>
        </w:tc>
        <w:tc>
          <w:tcPr>
            <w:tcW w:w="9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0" w:type="dxa"/>
            <w:vAlign w:val="bottom"/>
          </w:tcPr>
          <w:p>
            <w:pPr>
              <w:spacing w:after="0"/>
              <w:rPr>
                <w:sz w:val="20"/>
                <w:szCs w:val="20"/>
                <w:color w:val="auto"/>
              </w:rPr>
            </w:pPr>
          </w:p>
        </w:tc>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13,445</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00" w:type="dxa"/>
            <w:vAlign w:val="bottom"/>
          </w:tcPr>
          <w:p>
            <w:pPr>
              <w:spacing w:after="0"/>
              <w:rPr>
                <w:sz w:val="20"/>
                <w:szCs w:val="20"/>
                <w:color w:val="auto"/>
              </w:rPr>
            </w:pPr>
          </w:p>
        </w:tc>
      </w:tr>
      <w:tr>
        <w:trPr>
          <w:trHeight w:val="247"/>
        </w:trPr>
        <w:tc>
          <w:tcPr>
            <w:tcW w:w="60" w:type="dxa"/>
            <w:vAlign w:val="bottom"/>
          </w:tcPr>
          <w:p>
            <w:pPr>
              <w:spacing w:after="0"/>
              <w:rPr>
                <w:sz w:val="21"/>
                <w:szCs w:val="21"/>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(4,037 )</w:t>
            </w:r>
          </w:p>
        </w:tc>
        <w:tc>
          <w:tcPr>
            <w:tcW w:w="9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(2,667 )</w:t>
            </w:r>
          </w:p>
        </w:tc>
      </w:tr>
      <w:tr>
        <w:trPr>
          <w:trHeight w:val="237"/>
        </w:trPr>
        <w:tc>
          <w:tcPr>
            <w:tcW w:w="60" w:type="dxa"/>
            <w:vAlign w:val="bottom"/>
          </w:tcPr>
          <w:p>
            <w:pPr>
              <w:spacing w:after="0"/>
              <w:rPr>
                <w:sz w:val="20"/>
                <w:szCs w:val="20"/>
                <w:color w:val="auto"/>
              </w:rPr>
            </w:pPr>
          </w:p>
        </w:tc>
        <w:tc>
          <w:tcPr>
            <w:tcW w:w="69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260" w:type="dxa"/>
            <w:vAlign w:val="bottom"/>
            <w:tcBorders>
              <w:top w:val="single" w:sz="8" w:color="CFF0FC"/>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tcBorders>
              <w:top w:val="single" w:sz="8" w:color="CFF0FC"/>
            </w:tcBorders>
          </w:tcPr>
          <w:p>
            <w:pPr>
              <w:spacing w:after="0"/>
              <w:rPr>
                <w:sz w:val="20"/>
                <w:szCs w:val="20"/>
                <w:color w:val="auto"/>
              </w:rPr>
            </w:pPr>
          </w:p>
        </w:tc>
      </w:tr>
      <w:tr>
        <w:trPr>
          <w:trHeight w:val="20"/>
        </w:trPr>
        <w:tc>
          <w:tcPr>
            <w:tcW w:w="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-505460</wp:posOffset>
            </wp:positionV>
            <wp:extent cx="5969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5969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for the years ended December 31, 2022, 2021, and 2020 was $2.6 million, $1.4 million, and $1.0 million,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carrying value of capitalized internal-use software costs for the periods presented below are as follows (in thousands):</w:t>
      </w:r>
    </w:p>
    <w:p>
      <w:pPr>
        <w:sectPr>
          <w:pgSz w:w="11900" w:h="16838" w:orient="portrait"/>
          <w:cols w:equalWidth="0" w:num="1">
            <w:col w:w="11180"/>
          </w:cols>
          <w:pgMar w:left="320" w:top="65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41223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Amortization of internal-use software costs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Amortization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412230" cy="1803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21"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payroll and employee related taxes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sales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Liability from early exercised stock options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2021 Employee Stock Purchase Plan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412230" cy="3429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12230" cy="342900"/>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accrued liabilities</w:t>
      </w:r>
    </w:p>
    <w:p>
      <w:pPr>
        <w:spacing w:after="0" w:line="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accrued expenses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28575</wp:posOffset>
            </wp:positionV>
            <wp:extent cx="10883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77" w:lineRule="exact"/>
        <w:rPr>
          <w:sz w:val="20"/>
          <w:szCs w:val="20"/>
          <w:color w:val="auto"/>
        </w:rPr>
      </w:pPr>
    </w:p>
    <w:p>
      <w:pPr>
        <w:ind w:left="2640" w:hanging="1283"/>
        <w:spacing w:after="0"/>
        <w:tabs>
          <w:tab w:leader="none" w:pos="2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1,121</w:t>
      </w:r>
    </w:p>
    <w:p>
      <w:pPr>
        <w:spacing w:after="0" w:line="36" w:lineRule="exact"/>
        <w:rPr>
          <w:rFonts w:ascii="Times New Roman" w:cs="Times New Roman" w:eastAsia="Times New Roman" w:hAnsi="Times New Roman"/>
          <w:sz w:val="18"/>
          <w:szCs w:val="18"/>
          <w:color w:val="auto"/>
        </w:rPr>
      </w:pPr>
    </w:p>
    <w:p>
      <w:pPr>
        <w:ind w:left="2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2,072</w:t>
      </w:r>
    </w:p>
    <w:p>
      <w:pPr>
        <w:spacing w:after="0" w:line="36" w:lineRule="exact"/>
        <w:rPr>
          <w:rFonts w:ascii="Times New Roman" w:cs="Times New Roman" w:eastAsia="Times New Roman" w:hAnsi="Times New Roman"/>
          <w:sz w:val="18"/>
          <w:szCs w:val="18"/>
          <w:color w:val="auto"/>
        </w:rPr>
      </w:pPr>
    </w:p>
    <w:p>
      <w:pPr>
        <w:ind w:left="2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(585 )</w:t>
      </w:r>
    </w:p>
    <w:p>
      <w:pPr>
        <w:spacing w:after="0" w:line="27" w:lineRule="exact"/>
        <w:rPr>
          <w:rFonts w:ascii="Times New Roman" w:cs="Times New Roman" w:eastAsia="Times New Roman" w:hAnsi="Times New Roman"/>
          <w:sz w:val="18"/>
          <w:szCs w:val="18"/>
          <w:color w:val="auto"/>
        </w:rPr>
      </w:pPr>
    </w:p>
    <w:p>
      <w:pPr>
        <w:ind w:left="2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2,608</w:t>
      </w:r>
      <w:r>
        <w:rPr>
          <w:rFonts w:ascii="Times New Roman" w:cs="Times New Roman" w:eastAsia="Times New Roman" w:hAnsi="Times New Roman"/>
          <w:sz w:val="1"/>
          <w:szCs w:val="1"/>
          <w:color w:val="auto"/>
        </w:rPr>
        <w:drawing>
          <wp:inline distT="0" distB="0" distL="0" distR="0">
            <wp:extent cx="60325" cy="14287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142875"/>
                    </a:xfrm>
                    <a:prstGeom prst="rect">
                      <a:avLst/>
                    </a:prstGeom>
                    <a:noFill/>
                    <a:ln>
                      <a:noFill/>
                    </a:ln>
                  </pic:spPr>
                </pic:pic>
              </a:graphicData>
            </a:graphic>
          </wp:inline>
        </w:drawing>
      </w:r>
    </w:p>
    <w:p>
      <w:pPr>
        <w:spacing w:after="0" w:line="8" w:lineRule="exact"/>
        <w:rPr>
          <w:rFonts w:ascii="Times New Roman" w:cs="Times New Roman" w:eastAsia="Times New Roman" w:hAnsi="Times New Roman"/>
          <w:sz w:val="18"/>
          <w:szCs w:val="18"/>
          <w:color w:val="auto"/>
        </w:rPr>
      </w:pPr>
    </w:p>
    <w:p>
      <w:pPr>
        <w:ind w:left="2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3,530</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(1,247 )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26035</wp:posOffset>
            </wp:positionV>
            <wp:extent cx="10883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4,891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27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50"/>
        </w:trPr>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4"/>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r>
      <w:tr>
        <w:trPr>
          <w:trHeight w:val="238"/>
        </w:trPr>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43"/>
        </w:trPr>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43"/>
        </w:trPr>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r>
      <w:tr>
        <w:trPr>
          <w:trHeight w:val="243"/>
        </w:trPr>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43"/>
        </w:trPr>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w:t>
            </w:r>
          </w:p>
        </w:tc>
      </w:tr>
      <w:tr>
        <w:trPr>
          <w:trHeight w:val="239"/>
        </w:trPr>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18,699</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17,936</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660"/>
          </w:cols>
          <w:pgMar w:left="320" w:top="657" w:right="399" w:bottom="1440" w:gutter="0" w:footer="0" w:header="0"/>
          <w:type w:val="continuous"/>
        </w:sectPr>
      </w:pP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type w:val="continuous"/>
        </w:sectPr>
      </w:pPr>
    </w:p>
    <w:bookmarkStart w:id="85" w:name="page86"/>
    <w:bookmarkEnd w:id="85"/>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3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financial assets measured at fair value, the respective fair value and classification by level of input within the fair value hierarchy (in thousands):</w:t>
      </w:r>
    </w:p>
    <w:p>
      <w:pPr>
        <w:spacing w:after="0" w:line="19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As of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8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241"/>
              <w:spacing w:after="0" w:line="14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168,730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securities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(754 )</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252,672</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251,918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-25400</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0"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in the Company's consolidated balance sheet as of December 31, 2022, in addition to cash of $49.8 million.</w:t>
      </w:r>
    </w:p>
    <w:p>
      <w:pPr>
        <w:spacing w:after="0" w:line="20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available-for-sale securities as of December 31, 2022, by remaining contractual maturities, was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spacing w:after="0"/>
              <w:rPr>
                <w:sz w:val="18"/>
                <w:szCs w:val="18"/>
                <w:color w:val="auto"/>
              </w:rPr>
            </w:pP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0" w:type="dxa"/>
            <w:vAlign w:val="bottom"/>
          </w:tcPr>
          <w:p>
            <w:pPr>
              <w:spacing w:after="0"/>
              <w:rPr>
                <w:sz w:val="18"/>
                <w:szCs w:val="18"/>
                <w:color w:val="auto"/>
              </w:rPr>
            </w:pPr>
          </w:p>
        </w:tc>
      </w:tr>
      <w:tr>
        <w:trPr>
          <w:trHeight w:val="245"/>
        </w:trPr>
        <w:tc>
          <w:tcPr>
            <w:tcW w:w="94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9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shd w:val="clear" w:color="auto" w:fill="CFF0FC"/>
          </w:tcPr>
          <w:p>
            <w:pPr>
              <w:spacing w:after="0"/>
              <w:rPr>
                <w:sz w:val="21"/>
                <w:szCs w:val="21"/>
                <w:color w:val="auto"/>
              </w:rPr>
            </w:pPr>
          </w:p>
        </w:tc>
      </w:tr>
      <w:tr>
        <w:trPr>
          <w:trHeight w:val="24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greater than one year</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71,217</w:t>
            </w:r>
          </w:p>
        </w:tc>
        <w:tc>
          <w:tcPr>
            <w:tcW w:w="100" w:type="dxa"/>
            <w:vAlign w:val="bottom"/>
          </w:tcPr>
          <w:p>
            <w:pPr>
              <w:spacing w:after="0"/>
              <w:rPr>
                <w:sz w:val="21"/>
                <w:szCs w:val="21"/>
                <w:color w:val="auto"/>
              </w:rPr>
            </w:pPr>
          </w:p>
        </w:tc>
      </w:tr>
      <w:tr>
        <w:trPr>
          <w:trHeight w:val="276"/>
        </w:trPr>
        <w:tc>
          <w:tcPr>
            <w:tcW w:w="9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83,188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periodically evaluates its investments for expected credit losses. The unrealized losses on the available-for-sale securities were primarily due to unfavorable changes in interest rates subsequent to the initial purchase of these securities. None of the Company's available-for-sale securities have been in a continuous unrealized loss position for twelve months or longer as of December 31, 2022.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December 31, 2022 to represent a credit loss. The Company held no marketable securities as of December 31, 2021.</w:t>
      </w:r>
    </w:p>
    <w:p>
      <w:pPr>
        <w:spacing w:after="0" w:line="293"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Intangible Assets, and Goodwill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completed an acquisition of a privately-held company for an aggregate of $9.5 million, consisting of $2.1 million of cash and $7.4 million of equity consideration through the issuance of 0.7 million shares of its common stock. The Company has accounted for this transaction as a business combination. In allocating the aggregate purchase price based on the estimated fair values, the Company recorded $3.8 million of cash, $2.85 million as a developed technology intangible asset, and $0.4 million as a customer related intangible asset, both of which are to be amortized over estimated useful lives of three years. The excess of purchase consideration over the fair value of net assets acquired was recorded as goodwill in the amount of $3.1 million after measurement period and working capital adjustments. As part of the acquisition, the Company also agreed to retention agreements with key employees in which 0.4 million shares of common stock are restricted and vest over a service period of four years. As of December 31, 2022, total unrecognized stock-based compensation expense related to these restricted shares was $2.5 million, which is expected to be recognized over the weighted average remaining vesting period of 2.3 years.</w:t>
      </w:r>
    </w:p>
    <w:p>
      <w:pPr>
        <w:spacing w:after="0" w:line="188"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believes the goodwill balances associated with these acquisitions represent the synergies expected from expanded market opportunities when integrating the acquired developed technologies with the Company’s offerings as well as acquiring an assembled workforce. Related goodwill is deductible for income tax purposes.</w:t>
      </w:r>
    </w:p>
    <w:p>
      <w:pPr>
        <w:spacing w:after="0" w:line="17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Aggregate acquisition-related costs associated with these business combinations were not material for all periods presented and were included in general and administrative expenses in the consolidated statements of operations and comprehensive loss. The results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6" w:name="page87"/>
    <w:bookmarkEnd w:id="86"/>
    <w:p>
      <w:pPr>
        <w:ind w:right="140"/>
        <w:spacing w:after="0" w:line="266" w:lineRule="auto"/>
        <w:rPr>
          <w:sz w:val="20"/>
          <w:szCs w:val="20"/>
          <w:color w:val="auto"/>
        </w:rPr>
      </w:pPr>
      <w:r>
        <w:rPr>
          <w:rFonts w:ascii="Times New Roman" w:cs="Times New Roman" w:eastAsia="Times New Roman" w:hAnsi="Times New Roman"/>
          <w:sz w:val="18"/>
          <w:szCs w:val="18"/>
          <w:color w:val="auto"/>
        </w:rPr>
        <w:t>of operations of these business combinations have been included in the Company’s consolidated financial statements from the acquisition date. These business combinations did not have a material impact on the Company’s consolidated financial statements. Therefore, historical results of operations prior to the acquisition dates and pro forma results of operations have not been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Other Than 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7"/>
          </w:tcPr>
          <w:p>
            <w:pPr>
              <w:jc w:val="right"/>
              <w:ind w:right="757"/>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center"/>
              <w:ind w:right="18"/>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130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12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(4,153 )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related</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(306 )</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(93 )</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-25400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-25400</wp:posOffset>
            </wp:positionV>
            <wp:extent cx="768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-25400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$2.1 million, $1.7 million, and $0.7 million for the years ended December 31, 2022, 2021, and 2020,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December 31, 2022, future amortization expense is expected to be as follows (in thousands):</w:t>
            </w: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44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7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7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7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7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 Equity (Deficit) and Equity Incentive Plans</w:t>
            </w: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40" w:type="dxa"/>
            <w:vAlign w:val="bottom"/>
            <w:vMerge w:val="continue"/>
          </w:tcPr>
          <w:p>
            <w:pPr>
              <w:spacing w:after="0"/>
              <w:rPr>
                <w:sz w:val="24"/>
                <w:szCs w:val="24"/>
                <w:color w:val="auto"/>
              </w:rPr>
            </w:pPr>
          </w:p>
        </w:tc>
        <w:tc>
          <w:tcPr>
            <w:tcW w:w="8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board of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consolidated financial statements, unless otherwise noted. Holders of common stock are entitled to receive any dividends whenever funds are legally available and if declared by the board of directors.</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ind w:right="380"/>
        <w:spacing w:after="0" w:line="282" w:lineRule="auto"/>
        <w:rPr>
          <w:sz w:val="20"/>
          <w:szCs w:val="20"/>
          <w:color w:val="auto"/>
        </w:rPr>
      </w:pPr>
      <w:r>
        <w:rPr>
          <w:rFonts w:ascii="Times New Roman" w:cs="Times New Roman" w:eastAsia="Times New Roman" w:hAnsi="Times New Roman"/>
          <w:sz w:val="18"/>
          <w:szCs w:val="18"/>
          <w:color w:val="auto"/>
        </w:rPr>
        <w:t>the automatic conversion of such shares of Class B common stock to Class A common stock. Once converted into Class A common stock, the Class B common stock may not be reissued.</w:t>
      </w:r>
    </w:p>
    <w:p>
      <w:pPr>
        <w:sectPr>
          <w:pgSz w:w="11900" w:h="16838" w:orient="portrait"/>
          <w:cols w:equalWidth="0" w:num="1">
            <w:col w:w="11220"/>
          </w:cols>
          <w:pgMar w:left="320" w:top="553" w:right="359" w:bottom="1440" w:gutter="0" w:footer="0" w:header="0"/>
        </w:sectPr>
      </w:pP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reserved shares of its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1400"/>
        <w:spacing w:after="0"/>
        <w:rPr>
          <w:sz w:val="20"/>
          <w:szCs w:val="20"/>
          <w:color w:val="auto"/>
        </w:rPr>
      </w:pPr>
      <w:r>
        <w:rPr>
          <w:rFonts w:ascii="Times New Roman" w:cs="Times New Roman" w:eastAsia="Times New Roman" w:hAnsi="Times New Roman"/>
          <w:sz w:val="18"/>
          <w:szCs w:val="18"/>
          <w:color w:val="auto"/>
        </w:rPr>
        <w:t>2014 Stock Option and Grant Plan and 2021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Equity plan stock options outstanding</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6412230"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Total reserved shares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Stock Option and Grant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14605</wp:posOffset>
            </wp:positionV>
            <wp:extent cx="8483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16,767,752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9,914,125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16,774,634</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3,411,791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26035</wp:posOffset>
            </wp:positionV>
            <wp:extent cx="8483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46,868,302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14605</wp:posOffset>
            </wp:positionV>
            <wp:extent cx="10458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21,214,155</w:t>
      </w:r>
    </w:p>
    <w:p>
      <w:pPr>
        <w:spacing w:after="0" w:line="36"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1,716,614</w:t>
      </w:r>
    </w:p>
    <w:p>
      <w:pPr>
        <w:spacing w:after="0" w:line="36"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19,005,008</w:t>
      </w: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2,663,371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26035</wp:posOffset>
            </wp:positionV>
            <wp:extent cx="10458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30"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8"/>
          <w:szCs w:val="18"/>
          <w:color w:val="auto"/>
        </w:rPr>
        <w:t>44,599,148</w:t>
      </w:r>
    </w:p>
    <w:p>
      <w:pPr>
        <w:spacing w:after="0" w:line="1062" w:lineRule="exact"/>
        <w:rPr>
          <w:sz w:val="20"/>
          <w:szCs w:val="20"/>
          <w:color w:val="auto"/>
        </w:rPr>
      </w:pPr>
    </w:p>
    <w:p>
      <w:pPr>
        <w:sectPr>
          <w:pgSz w:w="11900" w:h="16838" w:orient="portrait"/>
          <w:cols w:equalWidth="0" w:num="3">
            <w:col w:w="6820" w:space="720"/>
            <w:col w:w="1180" w:space="480"/>
            <w:col w:w="2020"/>
          </w:cols>
          <w:pgMar w:left="320" w:top="553" w:right="359" w:bottom="1440" w:gutter="0" w:footer="0" w:header="0"/>
          <w:type w:val="continuous"/>
        </w:sect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December 31, 2022, a total of 16,774,634 shares of the Company's Class A common stock have been reserved for issuance under the 2021 Plan in addition to (i)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options granted under the 2021 Plan and 2014 Plan (the “combined stock plans”) generally vest based on continued service over four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issued outside of the combined stock plans were immaterial and therefore not discussed further below.</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type w:val="continuous"/>
        </w:sectPr>
      </w:pPr>
    </w:p>
    <w:bookmarkStart w:id="88" w:name="page89"/>
    <w:bookmarkEnd w:id="88"/>
    <w:p>
      <w:pPr>
        <w:ind w:left="520"/>
        <w:spacing w:after="0"/>
        <w:rPr>
          <w:sz w:val="20"/>
          <w:szCs w:val="20"/>
          <w:color w:val="auto"/>
        </w:rPr>
      </w:pPr>
      <w:r>
        <w:rPr>
          <w:rFonts w:ascii="Times New Roman" w:cs="Times New Roman" w:eastAsia="Times New Roman" w:hAnsi="Times New Roman"/>
          <w:sz w:val="18"/>
          <w:szCs w:val="18"/>
          <w:color w:val="auto"/>
        </w:rPr>
        <w:t>Option activity under the Company's combined stock plans is set forth below:</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 w:type="dxa"/>
            <w:vAlign w:val="bottom"/>
          </w:tcPr>
          <w:p>
            <w:pPr>
              <w:spacing w:after="0"/>
              <w:rPr>
                <w:sz w:val="21"/>
                <w:szCs w:val="21"/>
                <w:color w:val="auto"/>
              </w:rPr>
            </w:pPr>
          </w:p>
        </w:tc>
      </w:tr>
      <w:tr>
        <w:trPr>
          <w:trHeight w:val="243"/>
        </w:trPr>
        <w:tc>
          <w:tcPr>
            <w:tcW w:w="420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00" w:type="dxa"/>
            <w:vAlign w:val="bottom"/>
          </w:tcPr>
          <w:p>
            <w:pPr>
              <w:spacing w:after="0"/>
              <w:rPr>
                <w:sz w:val="21"/>
                <w:szCs w:val="21"/>
                <w:color w:val="auto"/>
              </w:rPr>
            </w:pPr>
          </w:p>
        </w:tc>
      </w:tr>
      <w:tr>
        <w:trPr>
          <w:trHeight w:val="243"/>
        </w:trPr>
        <w:tc>
          <w:tcPr>
            <w:tcW w:w="4200" w:type="dxa"/>
            <w:vAlign w:val="bottom"/>
          </w:tcPr>
          <w:p>
            <w:pPr>
              <w:spacing w:after="0"/>
              <w:rPr>
                <w:sz w:val="21"/>
                <w:szCs w:val="21"/>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8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50"/>
        </w:trPr>
        <w:tc>
          <w:tcPr>
            <w:tcW w:w="420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r>
      <w:tr>
        <w:trPr>
          <w:trHeight w:val="243"/>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December 31, 2021</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21,214,155</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(2,498,763 )</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(2,806,270 )</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4200" w:type="dxa"/>
            <w:vAlign w:val="bottom"/>
            <w:tcBorders>
              <w:bottom w:val="single" w:sz="8" w:color="CFF0FC"/>
            </w:tcBorders>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Balances as of December 31, 2022</w:t>
            </w:r>
            <w:r>
              <w:rPr>
                <w:rFonts w:ascii="Times New Roman" w:cs="Times New Roman" w:eastAsia="Times New Roman" w:hAnsi="Times New Roman"/>
                <w:sz w:val="24"/>
                <w:szCs w:val="24"/>
                <w:color w:val="auto"/>
                <w:vertAlign w:val="superscript"/>
              </w:rPr>
              <w:t>(1)</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16,767,752</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200" w:type="dxa"/>
            <w:vAlign w:val="bottom"/>
          </w:tcPr>
          <w:p>
            <w:pPr>
              <w:spacing w:after="0" w:line="224" w:lineRule="exact"/>
              <w:rPr>
                <w:sz w:val="20"/>
                <w:szCs w:val="20"/>
                <w:color w:val="auto"/>
              </w:rPr>
            </w:pPr>
            <w:r>
              <w:rPr>
                <w:rFonts w:ascii="Times New Roman" w:cs="Times New Roman" w:eastAsia="Times New Roman" w:hAnsi="Times New Roman"/>
                <w:sz w:val="18"/>
                <w:szCs w:val="18"/>
                <w:color w:val="auto"/>
              </w:rPr>
              <w:t>Exercisable as of December 31, 2022</w:t>
            </w:r>
            <w:r>
              <w:rPr>
                <w:rFonts w:ascii="Times New Roman" w:cs="Times New Roman" w:eastAsia="Times New Roman" w:hAnsi="Times New Roman"/>
                <w:sz w:val="24"/>
                <w:szCs w:val="24"/>
                <w:color w:val="auto"/>
                <w:vertAlign w:val="superscript"/>
              </w:rPr>
              <w:t>(2)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12,822,860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112,713</w:t>
            </w:r>
          </w:p>
        </w:tc>
        <w:tc>
          <w:tcPr>
            <w:tcW w:w="10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-839470</wp:posOffset>
            </wp:positionV>
            <wp:extent cx="68580" cy="162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-205105</wp:posOffset>
            </wp:positionV>
            <wp:extent cx="68580" cy="205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0" w:lineRule="exact"/>
        <w:rPr>
          <w:sz w:val="20"/>
          <w:szCs w:val="20"/>
          <w:color w:val="auto"/>
        </w:rPr>
      </w:pPr>
    </w:p>
    <w:p>
      <w:pPr>
        <w:ind w:left="380" w:right="100" w:hanging="372"/>
        <w:spacing w:after="0" w:line="233" w:lineRule="auto"/>
        <w:tabs>
          <w:tab w:leader="none" w:pos="3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 forfeitures are estimated due to the Company's adoption of ASU No. 2016-09, all options are vested or expected to vest. As of December 31, 2022, no options were outstanding that were subject to a future performance condition</w:t>
      </w:r>
    </w:p>
    <w:p>
      <w:pPr>
        <w:ind w:left="380" w:hanging="372"/>
        <w:spacing w:after="0"/>
        <w:tabs>
          <w:tab w:leader="none" w:pos="3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Exercisable shares include vested options as well as unvested shares that can be early exercised</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During December 2020, the Company granted 1,756,545 stock options to two executives which contain both a service condition and a performance condition. Based on the terms of the options, the vesting commencement date is defined as the date in which a Form S-1 filed with the SEC becomes effective (a “QPO Event”). In conjunction with the Direct Listing, a QPO Event occurred and therefore the options began to vest 1/24th each month subsequent to September 21, 2021. During fiscal 2022, the Company recognized $1.5 million in expense related to these awards using the accelerated attribution method. The unrecognized stock-based compensation expense was $0.3 million and $1.7 million as of December 31, 2022 and 2021, respectively.</w:t>
      </w:r>
    </w:p>
    <w:p>
      <w:pPr>
        <w:spacing w:after="0" w:line="18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values of options are calculated as the difference between the exercise price of the options and the market price for shares of the Company’s common stock as of each period-end. The total intrinsic value of options exercised for the years ended December 31, 2022, 2021, and 2020 was $23.3 million, $519.1 million, and $15.0 million, respectively.</w:t>
      </w:r>
    </w:p>
    <w:p>
      <w:pPr>
        <w:spacing w:after="0" w:line="17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Stock options granted during the years ended December 31, 2022, 2021, and 2020 had a weighted average grant date fair value of $8.27, $6.02, and $2.27 per share, respectively. With the exception of the performance options detailed above, the fair value is being expensed over the vesting period of the options on a straight-line basis as the services are being provided. The total fair value of shares vested during the years ended December 31, 2022, 2021, and 2020 was $17.6 million, $9.7 million, and $5.1 million, respectively. No tax benefits were realized from options during the periods.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total unrecognized stock-based compensation expense related to the combined stock plans options was $21.8 million. This unrecognized expense as of December 31, 2022 is expected to be recognized over the weighted average remaining vesting period of 2.45 years. As of December 31, 2022, the Company had 354,500 shares of non-employee stock options outstanding under the combined stock plans.</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each option granted to employees under the 2021 Plan is estimated on the grant date using the Black-Scholes pricing model. Based on the nature of the underlying options granted under the 2014 Plan, the fair value of each option granted to employees is estimated on the date of grant using the Monte Carlo simulation model.</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range of assumptions and data inputs were used in the Black-Scholes option-pricing model to estimate the fair value of the options granted under the 2021 Plan: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5"/>
        </w:trPr>
        <w:tc>
          <w:tcPr>
            <w:tcW w:w="5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65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6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$14.62 - $15.63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7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 - 3.36%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 - 55.6%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6.0 - 6.3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540"/>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78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89</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ind w:left="520"/>
        <w:spacing w:after="0"/>
        <w:rPr>
          <w:sz w:val="20"/>
          <w:szCs w:val="20"/>
          <w:color w:val="auto"/>
        </w:rPr>
      </w:pPr>
      <w:r>
        <w:rPr>
          <w:rFonts w:ascii="Times New Roman" w:cs="Times New Roman" w:eastAsia="Times New Roman" w:hAnsi="Times New Roman"/>
          <w:sz w:val="18"/>
          <w:szCs w:val="18"/>
          <w:i w:val="1"/>
          <w:iCs w:val="1"/>
          <w:color w:val="auto"/>
        </w:rPr>
        <w:t>Determining Fair Value of Stock Options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grant of stock option was determined by the Company using the methods as discussed above and the assumptions discussed below. The determination of each of these inputs is subjective and generally requires a level of judgment.</w:t>
      </w:r>
    </w:p>
    <w:p>
      <w:pPr>
        <w:spacing w:after="0" w:line="160"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expected stock price volatility assumption was determined by examining the historical volatilities of a group of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peers over a period equal to the expected life of the options, as we do not have sufficient trading history for our common stock.</w:t>
      </w:r>
    </w:p>
    <w:p>
      <w:pPr>
        <w:spacing w:after="0" w:line="15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Contractual term (Monte Carlo) </w:t>
      </w:r>
      <w:r>
        <w:rPr>
          <w:rFonts w:ascii="Times New Roman" w:cs="Times New Roman" w:eastAsia="Times New Roman" w:hAnsi="Times New Roman"/>
          <w:sz w:val="18"/>
          <w:szCs w:val="18"/>
          <w:color w:val="auto"/>
        </w:rPr>
        <w:t>– The contractual term of stock options is used to model the expected exercise behavior of the option holders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10-year exercise period. This method utilizes a Monte Carlo simulation based on historical exercise data as the options are not considered to be plain-vanilla where a simplified method is allowed as certain holders have up until option expiration to exercise regardless of employment status. The Monte Carlo simulation models expected exercise behavior utilizing an estimated stock price at which the holder of the option would choose to exercise an option prior to the end of the stated term. For this assumption, we utilized a value multiple on the strike price of 4.0 times.</w:t>
      </w:r>
    </w:p>
    <w:p>
      <w:pPr>
        <w:spacing w:after="0" w:line="183"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(Black-Scholes) </w:t>
      </w:r>
      <w:r>
        <w:rPr>
          <w:rFonts w:ascii="Times New Roman" w:cs="Times New Roman" w:eastAsia="Times New Roman" w:hAnsi="Times New Roman"/>
          <w:sz w:val="18"/>
          <w:szCs w:val="18"/>
          <w:color w:val="auto"/>
        </w:rPr>
        <w:t>– Expected term represents the period that our stock-based awards are expected to be outstanding.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are determined based on the vesting terms, exercise terms, and contractual lives of the options.</w:t>
      </w:r>
    </w:p>
    <w:p>
      <w:pPr>
        <w:spacing w:after="0" w:line="158"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 The expected dividend assumption was based on our history and expectation that it will not declare dividend payout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near future.</w:t>
      </w:r>
    </w:p>
    <w:p>
      <w:pPr>
        <w:spacing w:after="0" w:line="158" w:lineRule="exact"/>
        <w:rPr>
          <w:sz w:val="20"/>
          <w:szCs w:val="20"/>
          <w:color w:val="auto"/>
        </w:rPr>
      </w:pPr>
    </w:p>
    <w:p>
      <w:pPr>
        <w:ind w:right="7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zero 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contractual terms.</w:t>
      </w:r>
    </w:p>
    <w:p>
      <w:pPr>
        <w:spacing w:after="0" w:line="158"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Prior to the Direct Listing, the fair value of our common stock was determined by our board of directors,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intended all options granted to be exercisable at a price per share not less than the per share fair value of common stock underlying those options on the date of grant. The valuations of our common stock were determined in accordance with the guidelines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xml:space="preserve"> The board of directors considered numerous objective and subjective factors to determine the fair value of our common stock at each meeting in which awards were approved. The factors considered included, but were not limited to:</w:t>
      </w:r>
    </w:p>
    <w:p>
      <w:pPr>
        <w:spacing w:after="0" w:line="76" w:lineRule="exact"/>
        <w:rPr>
          <w:sz w:val="20"/>
          <w:szCs w:val="20"/>
          <w:color w:val="auto"/>
        </w:rPr>
      </w:pPr>
    </w:p>
    <w:p>
      <w:pPr>
        <w:ind w:left="1580" w:hanging="554"/>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contemporaneous independent third-party valuations of our common stock;</w:t>
      </w:r>
    </w:p>
    <w:p>
      <w:pPr>
        <w:spacing w:after="0" w:line="117" w:lineRule="exact"/>
        <w:rPr>
          <w:rFonts w:ascii="Times New Roman" w:cs="Times New Roman" w:eastAsia="Times New Roman" w:hAnsi="Times New Roman"/>
          <w:sz w:val="18"/>
          <w:szCs w:val="18"/>
          <w:color w:val="auto"/>
        </w:rPr>
      </w:pPr>
    </w:p>
    <w:p>
      <w:pPr>
        <w:ind w:left="1580" w:hanging="554"/>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its common stock;</w:t>
      </w:r>
    </w:p>
    <w:p>
      <w:pPr>
        <w:spacing w:after="0" w:line="117" w:lineRule="exact"/>
        <w:rPr>
          <w:rFonts w:ascii="Times New Roman" w:cs="Times New Roman" w:eastAsia="Times New Roman" w:hAnsi="Times New Roman"/>
          <w:sz w:val="18"/>
          <w:szCs w:val="18"/>
          <w:color w:val="auto"/>
        </w:rPr>
      </w:pPr>
    </w:p>
    <w:p>
      <w:pPr>
        <w:ind w:left="1580" w:hanging="554"/>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stock;</w:t>
      </w:r>
    </w:p>
    <w:p>
      <w:pPr>
        <w:spacing w:after="0" w:line="117" w:lineRule="exact"/>
        <w:rPr>
          <w:rFonts w:ascii="Times New Roman" w:cs="Times New Roman" w:eastAsia="Times New Roman" w:hAnsi="Times New Roman"/>
          <w:sz w:val="18"/>
          <w:szCs w:val="18"/>
          <w:color w:val="auto"/>
        </w:rPr>
      </w:pPr>
    </w:p>
    <w:p>
      <w:pPr>
        <w:ind w:left="1580" w:hanging="554"/>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operating and financial results;</w:t>
      </w:r>
    </w:p>
    <w:p>
      <w:pPr>
        <w:spacing w:after="0" w:line="117" w:lineRule="exact"/>
        <w:rPr>
          <w:rFonts w:ascii="Times New Roman" w:cs="Times New Roman" w:eastAsia="Times New Roman" w:hAnsi="Times New Roman"/>
          <w:sz w:val="18"/>
          <w:szCs w:val="18"/>
          <w:color w:val="auto"/>
        </w:rPr>
      </w:pPr>
    </w:p>
    <w:p>
      <w:pPr>
        <w:ind w:left="1580" w:hanging="554"/>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17" w:lineRule="exact"/>
        <w:rPr>
          <w:rFonts w:ascii="Times New Roman" w:cs="Times New Roman" w:eastAsia="Times New Roman" w:hAnsi="Times New Roman"/>
          <w:sz w:val="18"/>
          <w:szCs w:val="18"/>
          <w:color w:val="auto"/>
        </w:rPr>
      </w:pPr>
    </w:p>
    <w:p>
      <w:pPr>
        <w:ind w:left="1540" w:right="60" w:hanging="514"/>
        <w:spacing w:after="0" w:line="282" w:lineRule="auto"/>
        <w:tabs>
          <w:tab w:leader="none" w:pos="15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direct listing, or sale of our Company, given prevailing market conditions; and</w:t>
      </w:r>
    </w:p>
    <w:p>
      <w:pPr>
        <w:spacing w:after="0" w:line="53" w:lineRule="exact"/>
        <w:rPr>
          <w:rFonts w:ascii="Times New Roman" w:cs="Times New Roman" w:eastAsia="Times New Roman" w:hAnsi="Times New Roman"/>
          <w:sz w:val="18"/>
          <w:szCs w:val="18"/>
          <w:color w:val="auto"/>
        </w:rPr>
      </w:pPr>
    </w:p>
    <w:p>
      <w:pPr>
        <w:ind w:left="1580" w:hanging="554"/>
        <w:spacing w:after="0"/>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precedent transactions involving our shares.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RSUs granted under the 2021 Plan generally vest based on continued service, typically over a three- to four-year period. RSUs granted pursuant to the 2014 Plan vest according to a service condition as well as a performance condition, through a liquidity event, including (i) a change in control of the Company or (ii) the initial public offering of the Company’s equity securities, following which the securities shall be publicly traded, which includes a direct listing. As a result of the Direct Listing, the performance condition for all RSUs granted pursuant to the 2014 Plan has been met. During the years ended December 31, 2022 and 2021, the Company recorded $46.0 million and $15.4 million in expense related to RSUs, respectively.</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No RSUs were granted during year ended December 31, 2020. Additionally, no stock-based compensation expense was recognized during the year ended December 31, 2020 as the Company evaluated the performance condition being met as not probable as of December 31, 2020.</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0" w:name="page91"/>
    <w:bookmarkEnd w:id="90"/>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total unrecognized stock-based compensation expense related to RSUs was $168.4 million. This unrecognized expense as of December 31, 2022 is expected to be recognized over the weighted average remaining vesting period of 2.76 years. As of December 31, 2022, the Company had 231,576 shares of non-employee RSUs outstanding under the combined stock plans.</w:t>
      </w:r>
    </w:p>
    <w:p>
      <w:pPr>
        <w:sectPr>
          <w:pgSz w:w="11900" w:h="16838" w:orient="portrait"/>
          <w:cols w:equalWidth="0" w:num="1">
            <w:col w:w="11240"/>
          </w:cols>
          <w:pgMar w:left="320" w:top="553" w:right="339" w:bottom="1440" w:gutter="0" w:footer="0" w:header="0"/>
        </w:sectPr>
      </w:pP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RSU activity for the year ended December 31, 2022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14605</wp:posOffset>
            </wp:positionV>
            <wp:extent cx="11398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1,716,614</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10,664,063</w:t>
      </w:r>
      <w:r>
        <w:rPr>
          <w:sz w:val="1"/>
          <w:szCs w:val="1"/>
          <w:color w:val="auto"/>
        </w:rPr>
        <w:drawing>
          <wp:inline distT="0" distB="0" distL="0" distR="0">
            <wp:extent cx="77470" cy="16319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163195"/>
                    </a:xfrm>
                    <a:prstGeom prst="rect">
                      <a:avLst/>
                    </a:prstGeom>
                    <a:noFill/>
                    <a:ln>
                      <a:noFill/>
                    </a:ln>
                  </pic:spPr>
                </pic:pic>
              </a:graphicData>
            </a:graphic>
          </wp:inline>
        </w:drawing>
      </w:r>
    </w:p>
    <w:p>
      <w:pPr>
        <w:jc w:val="right"/>
        <w:ind w:right="60"/>
        <w:spacing w:after="0"/>
        <w:rPr>
          <w:sz w:val="20"/>
          <w:szCs w:val="20"/>
          <w:color w:val="auto"/>
        </w:rPr>
      </w:pPr>
      <w:r>
        <w:rPr>
          <w:rFonts w:ascii="Times New Roman" w:cs="Times New Roman" w:eastAsia="Times New Roman" w:hAnsi="Times New Roman"/>
          <w:sz w:val="18"/>
          <w:szCs w:val="18"/>
          <w:color w:val="auto"/>
        </w:rPr>
        <w:t>(1,482,082 )</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(984,470 )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26035</wp:posOffset>
            </wp:positionV>
            <wp:extent cx="11398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3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9,914,125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8" w:right="240" w:hanging="106"/>
        <w:spacing w:after="0" w:line="288" w:lineRule="auto"/>
        <w:rPr>
          <w:sz w:val="20"/>
          <w:szCs w:val="20"/>
          <w:color w:val="auto"/>
        </w:rPr>
      </w:pPr>
      <w:r>
        <w:rPr>
          <w:rFonts w:ascii="Times New Roman" w:cs="Times New Roman" w:eastAsia="Times New Roman" w:hAnsi="Times New Roman"/>
          <w:sz w:val="17"/>
          <w:szCs w:val="17"/>
          <w:b w:val="1"/>
          <w:bCs w:val="1"/>
          <w:color w:val="auto"/>
        </w:rPr>
        <w:t>Weighted-average grant date fair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-12065</wp:posOffset>
            </wp:positionV>
            <wp:extent cx="10369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1208" w:hanging="1208"/>
        <w:spacing w:after="0"/>
        <w:tabs>
          <w:tab w:leader="none" w:pos="120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38.40</w:t>
      </w:r>
    </w:p>
    <w:p>
      <w:pPr>
        <w:spacing w:after="0" w:line="47" w:lineRule="exact"/>
        <w:rPr>
          <w:rFonts w:ascii="Times New Roman" w:cs="Times New Roman" w:eastAsia="Times New Roman" w:hAnsi="Times New Roman"/>
          <w:sz w:val="17"/>
          <w:szCs w:val="17"/>
          <w:color w:val="auto"/>
        </w:rPr>
      </w:pPr>
    </w:p>
    <w:p>
      <w:pPr>
        <w:ind w:left="12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17.60</w:t>
      </w:r>
    </w:p>
    <w:p>
      <w:pPr>
        <w:spacing w:after="0" w:line="47" w:lineRule="exact"/>
        <w:rPr>
          <w:rFonts w:ascii="Times New Roman" w:cs="Times New Roman" w:eastAsia="Times New Roman" w:hAnsi="Times New Roman"/>
          <w:sz w:val="17"/>
          <w:szCs w:val="17"/>
          <w:color w:val="auto"/>
        </w:rPr>
      </w:pPr>
    </w:p>
    <w:p>
      <w:pPr>
        <w:ind w:left="12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23.71</w:t>
      </w:r>
    </w:p>
    <w:p>
      <w:pPr>
        <w:spacing w:after="0" w:line="61" w:lineRule="exact"/>
        <w:rPr>
          <w:rFonts w:ascii="Times New Roman" w:cs="Times New Roman" w:eastAsia="Times New Roman" w:hAnsi="Times New Roman"/>
          <w:sz w:val="17"/>
          <w:szCs w:val="17"/>
          <w:color w:val="auto"/>
        </w:rPr>
      </w:pPr>
    </w:p>
    <w:p>
      <w:pPr>
        <w:ind w:left="12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29.15</w:t>
      </w:r>
    </w:p>
    <w:p>
      <w:pPr>
        <w:spacing w:after="0" w:line="88" w:lineRule="exact"/>
        <w:rPr>
          <w:sz w:val="20"/>
          <w:szCs w:val="20"/>
          <w:color w:val="auto"/>
        </w:rPr>
      </w:pPr>
    </w:p>
    <w:p>
      <w:pPr>
        <w:ind w:left="1208" w:hanging="1208"/>
        <w:spacing w:after="0"/>
        <w:tabs>
          <w:tab w:leader="none" w:pos="120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19.14</w:t>
      </w:r>
    </w:p>
    <w:p>
      <w:pPr>
        <w:spacing w:after="0" w:line="709" w:lineRule="exact"/>
        <w:rPr>
          <w:sz w:val="20"/>
          <w:szCs w:val="20"/>
          <w:color w:val="auto"/>
        </w:rPr>
      </w:pPr>
    </w:p>
    <w:p>
      <w:pPr>
        <w:sectPr>
          <w:pgSz w:w="11900" w:h="16838" w:orient="portrait"/>
          <w:cols w:equalWidth="0" w:num="3">
            <w:col w:w="6980" w:space="720"/>
            <w:col w:w="1640" w:space="172"/>
            <w:col w:w="1728"/>
          </w:cols>
          <w:pgMar w:left="320" w:top="553" w:right="339" w:bottom="1440" w:gutter="0" w:footer="0" w:header="0"/>
          <w:type w:val="continuous"/>
        </w:sect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 total of 3,411,791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p>
    <w:p>
      <w:pPr>
        <w:spacing w:after="0" w:line="18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initial offering period under the ESPP was longer than 12 months, commencing on September 28, 2021 and ending on November 14, 2022. The first purchase period commenced on September 28, 2021 and ended on May 14, 2022. 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 In accordance with the rollover feature, immediately following the conclusion of the first and second purchase periods on May 14, 2022 and November 14, 2022, respectively, the corresponding offering period was terminated and participants were automatically enrolled in a new 12-month offering period commencing on May 15, 2022 and November 15, 2022 and ending on May 14, 2023 and November 14, 2023, respectively. The impact of the rollover feature did not result in material incremental compensation cost for the year ended December 31, 2022.</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assumptions were used to calculate the fair value of shares to be granted under the ESPP during the period utilizing the Black-Scholes option-pricing model:</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100" w:type="dxa"/>
            <w:vAlign w:val="bottom"/>
          </w:tcPr>
          <w:p>
            <w:pPr>
              <w:spacing w:after="0"/>
              <w:rPr>
                <w:sz w:val="18"/>
                <w:szCs w:val="18"/>
                <w:color w:val="auto"/>
              </w:rPr>
            </w:pPr>
          </w:p>
        </w:tc>
      </w:tr>
      <w:tr>
        <w:trPr>
          <w:trHeight w:val="245"/>
        </w:trPr>
        <w:tc>
          <w:tcPr>
            <w:tcW w:w="8040" w:type="dxa"/>
            <w:vAlign w:val="bottom"/>
          </w:tcPr>
          <w:p>
            <w:pPr>
              <w:spacing w:after="0"/>
              <w:rPr>
                <w:sz w:val="21"/>
                <w:szCs w:val="21"/>
                <w:color w:val="auto"/>
              </w:rPr>
            </w:pPr>
          </w:p>
        </w:tc>
        <w:tc>
          <w:tcPr>
            <w:tcW w:w="1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1"/>
                <w:szCs w:val="21"/>
                <w:color w:val="auto"/>
              </w:rPr>
            </w:pPr>
          </w:p>
        </w:tc>
      </w:tr>
      <w:tr>
        <w:trPr>
          <w:trHeight w:val="243"/>
        </w:trPr>
        <w:tc>
          <w:tcPr>
            <w:tcW w:w="80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$14.77 - $17.04</w:t>
            </w:r>
          </w:p>
        </w:tc>
        <w:tc>
          <w:tcPr>
            <w:tcW w:w="100" w:type="dxa"/>
            <w:vAlign w:val="bottom"/>
            <w:shd w:val="clear" w:color="auto" w:fill="CFF0FC"/>
          </w:tcPr>
          <w:p>
            <w:pPr>
              <w:spacing w:after="0"/>
              <w:rPr>
                <w:sz w:val="21"/>
                <w:szCs w:val="2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 - 4.63%</w:t>
            </w:r>
          </w:p>
        </w:tc>
        <w:tc>
          <w:tcPr>
            <w:tcW w:w="100" w:type="dxa"/>
            <w:vAlign w:val="bottom"/>
            <w:shd w:val="clear" w:color="auto" w:fill="CFF0FC"/>
          </w:tcPr>
          <w:p>
            <w:pPr>
              <w:spacing w:after="0"/>
              <w:rPr>
                <w:sz w:val="21"/>
                <w:szCs w:val="21"/>
                <w:color w:val="auto"/>
              </w:rPr>
            </w:pPr>
          </w:p>
        </w:tc>
      </w:tr>
      <w:tr>
        <w:trPr>
          <w:trHeight w:val="239"/>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r>
      <w:tr>
        <w:trPr>
          <w:trHeight w:val="247"/>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0.50 - 1.0</w:t>
            </w:r>
          </w:p>
        </w:tc>
        <w:tc>
          <w:tcPr>
            <w:tcW w:w="100" w:type="dxa"/>
            <w:vAlign w:val="bottom"/>
            <w:shd w:val="clear" w:color="auto" w:fill="CFF0FC"/>
          </w:tcPr>
          <w:p>
            <w:pPr>
              <w:spacing w:after="0"/>
              <w:rPr>
                <w:sz w:val="21"/>
                <w:szCs w:val="21"/>
                <w:color w:val="auto"/>
              </w:rPr>
            </w:pPr>
          </w:p>
        </w:tc>
      </w:tr>
    </w:tbl>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expected term for the ESPP purchase rights is based on the duration of the offering period. Estimated volatility for ESPP purchase rights is based on the historical volatility of a group of industry peers as sufficient history is not available for our common stock. The risk-free interest rate is based on the U.S. Treasury yield curve in effect at the time the ESPP purchase right was granted at the beginning of the offering period. We have not declared, nor do we expect to declare dividends.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91" w:name="page92"/>
    <w:bookmarkEnd w:id="91"/>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350,341 shares have been purchased under the ESPP. During the year ended December 31, 2022, the Company recognized $5.7 million of stock-based compensation expense related to the ESPP. As of December 31, 2022, total unrecognized compensation costs related to the ESPP was $1.9 million, which will be amortized over a weighted average period of 0.87 years.</w:t>
      </w:r>
    </w:p>
    <w:p>
      <w:pPr>
        <w:spacing w:after="0" w:line="21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net of actual forfeitures is reflected in the consolidated statement of operations and comprehensive loss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5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FF0FC"/>
          </w:tcPr>
          <w:p>
            <w:pPr>
              <w:spacing w:after="0"/>
              <w:rPr>
                <w:sz w:val="21"/>
                <w:szCs w:val="21"/>
                <w:color w:val="auto"/>
              </w:rPr>
            </w:pPr>
          </w:p>
        </w:tc>
      </w:tr>
      <w:tr>
        <w:trPr>
          <w:trHeight w:val="23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tcPr>
          <w:p>
            <w:pPr>
              <w:spacing w:after="0"/>
              <w:rPr>
                <w:sz w:val="20"/>
                <w:szCs w:val="20"/>
                <w:color w:val="auto"/>
              </w:rPr>
            </w:pPr>
          </w:p>
        </w:tc>
      </w:tr>
      <w:tr>
        <w:trPr>
          <w:trHeight w:val="247"/>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shd w:val="clear" w:color="auto" w:fill="CFF0FC"/>
          </w:tcPr>
          <w:p>
            <w:pPr>
              <w:spacing w:after="0"/>
              <w:rPr>
                <w:sz w:val="21"/>
                <w:szCs w:val="21"/>
                <w:color w:val="auto"/>
              </w:rPr>
            </w:pPr>
          </w:p>
        </w:tc>
      </w:tr>
      <w:tr>
        <w:trPr>
          <w:trHeight w:val="24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21"/>
                <w:szCs w:val="21"/>
                <w:color w:val="auto"/>
              </w:rPr>
            </w:pPr>
          </w:p>
        </w:tc>
      </w:tr>
      <w:tr>
        <w:trPr>
          <w:trHeight w:val="277"/>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67,223</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34,394</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2021 and 2020, the Company facilitated secondary transactions with select executives in which common stock was sold above fair value. Therefore, the Company has recorded $1.1 million and $11.1 million as compensation expense included in the above table in the years ended December 31, 2021 and 2020, respectively. No related expense was recorded in the year ended December 31, 2022.</w:t>
      </w:r>
    </w:p>
    <w:p>
      <w:pPr>
        <w:spacing w:after="0" w:line="280"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has established a savings and retirement plan for employees that permits participants to make contributions by salary deductions pursuant to Section 401(k) of the Internal Revenue Code. The plan is available to all regular employees on the Company’s U.S. payroll. The Company does not currently match employees’ contributions.</w:t>
      </w:r>
    </w:p>
    <w:p>
      <w:pPr>
        <w:spacing w:after="0" w:line="280"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Pre-tax book loss has been recorded in the following jurisdictions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9"/>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(97,047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(79,354</w:t>
            </w:r>
          </w:p>
        </w:tc>
        <w:tc>
          <w:tcPr>
            <w:tcW w:w="3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Worldwide pre-tax loss</w:t>
            </w:r>
          </w:p>
        </w:tc>
        <w:tc>
          <w:tcPr>
            <w:tcW w:w="320" w:type="dxa"/>
            <w:vAlign w:val="bottom"/>
            <w:tcBorders>
              <w:bottom w:val="single" w:sz="8" w:color="auto"/>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(92,581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(73,954</w:t>
            </w:r>
          </w:p>
        </w:tc>
        <w:tc>
          <w:tcPr>
            <w:tcW w:w="38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3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5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8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(320 )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(57 )</w:t>
            </w:r>
          </w:p>
        </w:tc>
        <w:tc>
          <w:tcPr>
            <w:tcW w:w="24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Provision</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80" w:type="dxa"/>
            <w:vAlign w:val="bottom"/>
          </w:tcPr>
          <w:p>
            <w:pPr>
              <w:spacing w:after="0"/>
              <w:rPr>
                <w:sz w:val="20"/>
                <w:szCs w:val="20"/>
                <w:color w:val="auto"/>
              </w:rPr>
            </w:pP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-2828290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-2811145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-2828290</wp:posOffset>
            </wp:positionV>
            <wp:extent cx="603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-2811145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-2828290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-2811145</wp:posOffset>
            </wp:positionV>
            <wp:extent cx="603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-1259205</wp:posOffset>
            </wp:positionV>
            <wp:extent cx="1937385" cy="179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937385" cy="17970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-616585</wp:posOffset>
            </wp:positionV>
            <wp:extent cx="68580"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-616585</wp:posOffset>
            </wp:positionV>
            <wp:extent cx="60325"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-616585</wp:posOffset>
            </wp:positionV>
            <wp:extent cx="60325"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federal income tax rate of 21% to pre-tax loss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2021, and 2020 from operations as a result of the following:</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280" w:type="dxa"/>
            <w:vAlign w:val="bottom"/>
            <w:gridSpan w:val="5"/>
          </w:tcPr>
          <w:p>
            <w:pPr>
              <w:ind w:left="1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5680" w:type="dxa"/>
            <w:vAlign w:val="bottom"/>
          </w:tcPr>
          <w:p>
            <w:pPr>
              <w:spacing w:after="0"/>
              <w:rPr>
                <w:sz w:val="21"/>
                <w:szCs w:val="21"/>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1"/>
                <w:szCs w:val="21"/>
                <w:color w:val="auto"/>
              </w:rPr>
            </w:pPr>
          </w:p>
        </w:tc>
      </w:tr>
      <w:tr>
        <w:trPr>
          <w:trHeight w:val="243"/>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Pr>
          <w:p>
            <w:pPr>
              <w:spacing w:after="0"/>
              <w:rPr>
                <w:sz w:val="20"/>
                <w:szCs w:val="20"/>
                <w:color w:val="auto"/>
              </w:rPr>
            </w:pPr>
          </w:p>
        </w:tc>
      </w:tr>
      <w:tr>
        <w:trPr>
          <w:trHeight w:val="247"/>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FF0FC"/>
          </w:tcPr>
          <w:p>
            <w:pPr>
              <w:spacing w:after="0"/>
              <w:rPr>
                <w:sz w:val="21"/>
                <w:szCs w:val="21"/>
                <w:color w:val="auto"/>
              </w:rPr>
            </w:pPr>
          </w:p>
        </w:tc>
      </w:tr>
      <w:tr>
        <w:trPr>
          <w:trHeight w:val="23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00" w:type="dxa"/>
            <w:vAlign w:val="bottom"/>
          </w:tcPr>
          <w:p>
            <w:pPr>
              <w:spacing w:after="0"/>
              <w:rPr>
                <w:sz w:val="20"/>
                <w:szCs w:val="20"/>
                <w:color w:val="auto"/>
              </w:rPr>
            </w:pPr>
          </w:p>
        </w:tc>
      </w:tr>
      <w:tr>
        <w:trPr>
          <w:trHeight w:val="247"/>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00" w:type="dxa"/>
            <w:vAlign w:val="bottom"/>
            <w:shd w:val="clear" w:color="auto" w:fill="CFF0FC"/>
          </w:tcPr>
          <w:p>
            <w:pPr>
              <w:spacing w:after="0"/>
              <w:rPr>
                <w:sz w:val="21"/>
                <w:szCs w:val="21"/>
                <w:color w:val="auto"/>
              </w:rPr>
            </w:pPr>
          </w:p>
        </w:tc>
      </w:tr>
      <w:tr>
        <w:trPr>
          <w:trHeight w:val="23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0" w:type="dxa"/>
            <w:vAlign w:val="bottom"/>
          </w:tcPr>
          <w:p>
            <w:pPr>
              <w:spacing w:after="0"/>
              <w:rPr>
                <w:sz w:val="20"/>
                <w:szCs w:val="20"/>
                <w:color w:val="auto"/>
              </w:rPr>
            </w:pPr>
          </w:p>
        </w:tc>
      </w:tr>
      <w:tr>
        <w:trPr>
          <w:trHeight w:val="247"/>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FF0FC"/>
          </w:tcPr>
          <w:p>
            <w:pPr>
              <w:spacing w:after="0"/>
              <w:rPr>
                <w:sz w:val="21"/>
                <w:szCs w:val="21"/>
                <w:color w:val="auto"/>
              </w:rPr>
            </w:pPr>
          </w:p>
        </w:tc>
      </w:tr>
      <w:tr>
        <w:trPr>
          <w:trHeight w:val="23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6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200" w:type="dxa"/>
            <w:vAlign w:val="bottom"/>
          </w:tcPr>
          <w:p>
            <w:pPr>
              <w:spacing w:after="0"/>
              <w:rPr>
                <w:sz w:val="20"/>
                <w:szCs w:val="20"/>
                <w:color w:val="auto"/>
              </w:rPr>
            </w:pPr>
          </w:p>
        </w:tc>
      </w:tr>
      <w:tr>
        <w:trPr>
          <w:trHeight w:val="277"/>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-24765</wp:posOffset>
            </wp:positionV>
            <wp:extent cx="1625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1625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17145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714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-24765</wp:posOffset>
            </wp:positionV>
            <wp:extent cx="1200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-7620</wp:posOffset>
            </wp:positionV>
            <wp:extent cx="1200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Company’s deferred tax assets and liabilities as of December 31, 2022, 2021, and 2020 related to the following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107,341</w:t>
            </w:r>
          </w:p>
        </w:tc>
        <w:tc>
          <w:tcPr>
            <w:tcW w:w="3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103,028</w:t>
            </w:r>
          </w:p>
        </w:tc>
        <w:tc>
          <w:tcPr>
            <w:tcW w:w="3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100" w:type="dxa"/>
            <w:vAlign w:val="bottom"/>
          </w:tcPr>
          <w:p>
            <w:pPr>
              <w:spacing w:after="0"/>
              <w:rPr>
                <w:sz w:val="20"/>
                <w:szCs w:val="20"/>
                <w:color w:val="auto"/>
              </w:rPr>
            </w:pPr>
          </w:p>
        </w:tc>
      </w:tr>
      <w:tr>
        <w:trPr>
          <w:trHeight w:val="24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carryforwards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15,876</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9,742</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0"/>
                <w:szCs w:val="20"/>
                <w:color w:val="auto"/>
              </w:rPr>
            </w:pPr>
          </w:p>
        </w:tc>
      </w:tr>
      <w:tr>
        <w:trPr>
          <w:trHeight w:val="24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Gross tax assets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148,867</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116,803</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30,357</w:t>
            </w:r>
          </w:p>
        </w:tc>
        <w:tc>
          <w:tcPr>
            <w:tcW w:w="100" w:type="dxa"/>
            <w:vAlign w:val="bottom"/>
          </w:tcPr>
          <w:p>
            <w:pPr>
              <w:spacing w:after="0"/>
              <w:rPr>
                <w:sz w:val="20"/>
                <w:szCs w:val="20"/>
                <w:color w:val="auto"/>
              </w:rPr>
            </w:pPr>
          </w:p>
        </w:tc>
      </w:tr>
      <w:tr>
        <w:trPr>
          <w:trHeight w:val="24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(139,291 )</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(110,720 )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(26,286 )</w:t>
            </w:r>
          </w:p>
        </w:tc>
      </w:tr>
      <w:tr>
        <w:trPr>
          <w:trHeight w:val="232"/>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Realizable deferred tax assets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3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3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Borders>
              <w:top w:val="single" w:sz="8" w:color="CFF0FC"/>
            </w:tcBorders>
          </w:tcPr>
          <w:p>
            <w:pPr>
              <w:spacing w:after="0"/>
              <w:rPr>
                <w:sz w:val="20"/>
                <w:szCs w:val="20"/>
                <w:color w:val="auto"/>
              </w:rPr>
            </w:pPr>
          </w:p>
        </w:tc>
      </w:tr>
      <w:tr>
        <w:trPr>
          <w:trHeight w:val="24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Deferred commission costs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(8,962 )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(6,881 )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(4,727 )</w:t>
            </w:r>
          </w:p>
        </w:tc>
      </w:tr>
      <w:tr>
        <w:trPr>
          <w:trHeight w:val="24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use software</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(643 )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20"/>
                <w:szCs w:val="20"/>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(2,428 )</w:t>
            </w:r>
          </w:p>
        </w:tc>
        <w:tc>
          <w:tcPr>
            <w:tcW w:w="260" w:type="dxa"/>
            <w:vAlign w:val="bottom"/>
          </w:tcPr>
          <w:p>
            <w:pPr>
              <w:spacing w:after="0"/>
              <w:rPr>
                <w:sz w:val="20"/>
                <w:szCs w:val="20"/>
                <w:color w:val="auto"/>
              </w:rPr>
            </w:pPr>
          </w:p>
        </w:tc>
        <w:tc>
          <w:tcPr>
            <w:tcW w:w="12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(22 )</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(303 )</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5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liabilities</w:t>
            </w:r>
          </w:p>
        </w:tc>
        <w:tc>
          <w:tcPr>
            <w:tcW w:w="280" w:type="dxa"/>
            <w:vAlign w:val="bottom"/>
          </w:tcPr>
          <w:p>
            <w:pPr>
              <w:spacing w:after="0"/>
              <w:rPr>
                <w:sz w:val="20"/>
                <w:szCs w:val="20"/>
                <w:color w:val="auto"/>
              </w:rPr>
            </w:pPr>
          </w:p>
        </w:tc>
        <w:tc>
          <w:tcPr>
            <w:tcW w:w="1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(11,412 )</w:t>
            </w:r>
          </w:p>
        </w:tc>
        <w:tc>
          <w:tcPr>
            <w:tcW w:w="260" w:type="dxa"/>
            <w:vAlign w:val="bottom"/>
          </w:tcPr>
          <w:p>
            <w:pPr>
              <w:spacing w:after="0"/>
              <w:rPr>
                <w:sz w:val="20"/>
                <w:szCs w:val="20"/>
                <w:color w:val="auto"/>
              </w:rPr>
            </w:pPr>
          </w:p>
        </w:tc>
        <w:tc>
          <w:tcPr>
            <w:tcW w:w="12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(7,828 )</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(5,019 )</w:t>
            </w:r>
          </w:p>
        </w:tc>
      </w:tr>
      <w:tr>
        <w:trPr>
          <w:trHeight w:val="277"/>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36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380" w:type="dxa"/>
            <w:vAlign w:val="bottom"/>
            <w:tcBorders>
              <w:bottom w:val="single" w:sz="8" w:color="CFF0FC"/>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-1910715</wp:posOffset>
            </wp:positionV>
            <wp:extent cx="68580" cy="163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-1910715</wp:posOffset>
            </wp:positionV>
            <wp:extent cx="60325" cy="1631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-1910715</wp:posOffset>
            </wp:positionV>
            <wp:extent cx="60325" cy="163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-1593850</wp:posOffset>
            </wp:positionV>
            <wp:extent cx="68580" cy="1631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-1593850</wp:posOffset>
            </wp:positionV>
            <wp:extent cx="60325" cy="163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-1593850</wp:posOffset>
            </wp:positionV>
            <wp:extent cx="60325" cy="1631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-350520</wp:posOffset>
            </wp:positionV>
            <wp:extent cx="6858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-350520</wp:posOffset>
            </wp:positionV>
            <wp:extent cx="60325"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asset-and-liability method. Deferred tax assets and liabilities are recognized for future tax consequences attributable to differences between the financial statement carrying amounts of existing assets and liabilities and their respective tax bases and operating loss and tax credit carryforward. Deferred tax assets and liabilities are measured using enacted tax rates expected to apply to the taxable income or loss in the future years in which those temporary differences are expected to be recovered or settled. The effect on the deferred tax assets and liabilities of a change in tax rates is recognized in income in the period that includes the enactment date. Valuation allowances are established for deferred tax assets to the extent it is more likely than not that the deferred tax assets may not be realizable.</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uncertain tax positions taken or expected to be taken in the course of preparing its tax return to determine whether the tax positions are more likely than not of being sustained upon challenge by the applicable taxing authority. The Company recognizes the effect of income tax positions only if those positions are more likely than not of being sustained. Recognized income tax positions measured at the largest amount that is greater than 50% likely of being realized. Changes in recognition or remeasurement are reflected in the period in which the change in judgment occurs.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all of the deferred tax assets will not be realized. The ultimate realization of deferred tax assets is dependent on the generation of future taxable income during the periods in which those temporary differences become deductible. Based on the levels of historical taxable income and projections for future taxable income over the period in which temporary differences are deductible, the Company has recorded a valuation allowance for substantially all of its deferred tax assets, except to the extent of deferred tax liabilities, as it is unable to conclude that it is more likely than not that the deferred tax assets in excess of deferred tax liabilities will be realizable.</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2022, the Company had approximately $422.2 million, $288.0 million, and $0.6 million of net operating loss carryforwards available to offset future federal, state, and foreign taxable income, respectively. If realized, none of the net operating loss carryforwards will be recognized as a benefit through additional paid-in capital. If not realized, federal carryforward losses of $25.4 million will expire beginning in 2032 and $396.8 million of carryforward losses will carryforward indefinitely. State carryforwards will expire beginning 2030. The foreign losses can be carried forward indefinitely.</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2022, the Company had tax credit carryforwards of $9.1 million and $8.5 million, net of reserves to offset future federal and state tax and $0.1 million of foreign research tax credit carryforwards. The carryforwards will expire in various amounts for federal purposes beginning 2033. The California R&amp;D credits will not expire but the California competes tax credits will expire beginning 2026. The foreign research tax credits are allowed a carryforward of 20 years and are set to expire in 2042.</w:t>
      </w:r>
    </w:p>
    <w:p>
      <w:pPr>
        <w:spacing w:after="0" w:line="180"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Utilization of net operating loss carryforwards and credits may be subject to substantial annual limitation due to ownership change limitations provided by the Internal Revenue Code of 1986, as amended, and similar state provisions. The annual limitations may result in the expiration of the net operating losses before utilization.</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unrecognized income tax benefits of $3.6 million. The increase in the Company’s unrecognized tax benefit was primarily attributable to current year credit activities. A reconciliation of the beginning and ending amount of unrealized tax benefit (excluding interest and penalties) is as follows (in thousands):</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52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78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2,253</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FF0FC"/>
          </w:tcPr>
          <w:p>
            <w:pPr>
              <w:spacing w:after="0"/>
              <w:rPr>
                <w:sz w:val="21"/>
                <w:szCs w:val="21"/>
                <w:color w:val="auto"/>
              </w:rPr>
            </w:pPr>
          </w:p>
        </w:tc>
      </w:tr>
      <w:tr>
        <w:trPr>
          <w:trHeight w:val="239"/>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tax positions taken during a prior year</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1,372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related to tax positions taken during a prior year</w:t>
            </w:r>
          </w:p>
        </w:tc>
        <w:tc>
          <w:tcPr>
            <w:tcW w:w="78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tax positions taken during the current year</w:t>
            </w:r>
          </w:p>
        </w:tc>
        <w:tc>
          <w:tcPr>
            <w:tcW w:w="7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3,625</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total unrecognized tax benefit, if recognized, would not affect the Company’s effective tax rate as the tax benefit would increase the deferred tax asset, which is currently offset with a full valuation allowance. The Company does not anticipate that the amount of existing unrecognized tax benefit will significantly increase or decrease within the next 12 months. Accrued interest and penalties related to the unrecognized tax benefits are recorded in income tax expense. No interest, penalties, or tax benefits were recognized during the year ended December 31, 2022.</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files U.S. federal, Netherlands, United Kingdom, France, Singapore, Japan, Germany, Canada, India, and Australia income tax returns as well as state income tax returns for various state jurisdictions. Due to the Company’s net operating loss carryforwards in the United States, its income tax returns remain subject to federal and state tax authorities for all prior years. There are no tax years under examination by any jurisdiction, except India, at this time. The Company records liabilities related to uncertain tax positions and believes that it has provided adequate reserves for income tax uncertainties in all open tax years.</w:t>
      </w:r>
    </w:p>
    <w:p>
      <w:pPr>
        <w:spacing w:after="0" w:line="183"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for U.S. federal income taxes on the earnings of foreign subsidiaries unless they are considered permanently reinvested outside of the U.S. As of December 31, 2022, the Company’s management is asserting that it is their intent to indefinitely reinvest unremitted foreign earnings for all its foreign entities.</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Tax Cuts and Jobs Act (“TCJA”) amended Section 174 to require taxpayers to capitalize costs properly identified as research and experimental expenditures and amortize such costs ratably over a period of either five or fifteen years (beginning with the midpoint of the tax year in which the specified expenditures are paid or incurred), depending on whether the costs were associated with domestic or foreign activity, respectively. The TCJA specified that amendments to Section 174 were applicable to research and experimental costs incurred in taxable years beginning after December 31, 2021 and as such, the Company has adopted the amendment. This amendment did not have a material impact to income taxes in the Company's financial statements for the year ended December 31, 2022.</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Creating Helpful Incentives to Produce Semiconductors and Science Act of 2022 (“CHIPS”) and the Inflation Reduction Act (“IRA”) of 2022 were signed into law by President Biden on August 9, 2022 and August 16, 2022, respectively. These laws introduce new options for monetizing certain credits, a corporate alternative minimum tax, and a stock repurchase excise tax. The Company is currently evaluating the impact of CHIPS and IRA, but at present does not expect that the any of the provisions included in these acts would result in a material impact to the Company's deferred tax assets, liabilities, or income taxes payable.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60" w:type="dxa"/>
            <w:vAlign w:val="bottom"/>
          </w:tcPr>
          <w:p>
            <w:pPr>
              <w:spacing w:after="0"/>
              <w:rPr>
                <w:sz w:val="24"/>
                <w:szCs w:val="24"/>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 except years and rate):</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0"/>
        </w:trPr>
        <w:tc>
          <w:tcPr>
            <w:tcW w:w="36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 Ended December</w:t>
            </w:r>
          </w:p>
        </w:tc>
      </w:tr>
      <w:tr>
        <w:trPr>
          <w:trHeight w:val="245"/>
        </w:trPr>
        <w:tc>
          <w:tcPr>
            <w:tcW w:w="36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9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9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7"/>
        </w:trPr>
        <w:tc>
          <w:tcPr>
            <w:tcW w:w="91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60"/>
        </w:trPr>
        <w:tc>
          <w:tcPr>
            <w:tcW w:w="36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243"/>
        </w:trPr>
        <w:tc>
          <w:tcPr>
            <w:tcW w:w="9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(years)</w:t>
            </w:r>
          </w:p>
        </w:tc>
        <w:tc>
          <w:tcPr>
            <w:tcW w:w="2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9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441"/>
        </w:trPr>
        <w:tc>
          <w:tcPr>
            <w:tcW w:w="360" w:type="dxa"/>
            <w:vAlign w:val="bottom"/>
          </w:tcPr>
          <w:p>
            <w:pPr>
              <w:spacing w:after="0"/>
              <w:rPr>
                <w:sz w:val="24"/>
                <w:szCs w:val="24"/>
                <w:color w:val="auto"/>
              </w:rPr>
            </w:pP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is as follows (in thousands):</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0"/>
        </w:trPr>
        <w:tc>
          <w:tcPr>
            <w:tcW w:w="36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45"/>
        </w:trPr>
        <w:tc>
          <w:tcPr>
            <w:tcW w:w="36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1"/>
        </w:trPr>
        <w:tc>
          <w:tcPr>
            <w:tcW w:w="36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9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9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-1845310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-1828165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non-cancellable operating leases with initial lease terms in excess of one year included in the Company’s lease liabilities as of December 31, 2022 are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7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tcPr>
          <w:p>
            <w:pPr>
              <w:spacing w:after="0"/>
              <w:rPr>
                <w:sz w:val="20"/>
                <w:szCs w:val="20"/>
                <w:color w:val="auto"/>
              </w:rPr>
            </w:pPr>
          </w:p>
        </w:tc>
      </w:tr>
      <w:tr>
        <w:trPr>
          <w:trHeight w:val="247"/>
        </w:trPr>
        <w:tc>
          <w:tcPr>
            <w:tcW w:w="9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shd w:val="clear" w:color="auto" w:fill="CFF0FC"/>
          </w:tcPr>
          <w:p>
            <w:pPr>
              <w:spacing w:after="0"/>
              <w:rPr>
                <w:sz w:val="21"/>
                <w:szCs w:val="21"/>
                <w:color w:val="auto"/>
              </w:rPr>
            </w:pPr>
          </w:p>
        </w:tc>
      </w:tr>
      <w:tr>
        <w:trPr>
          <w:trHeight w:val="239"/>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00" w:type="dxa"/>
            <w:vAlign w:val="bottom"/>
          </w:tcPr>
          <w:p>
            <w:pPr>
              <w:spacing w:after="0"/>
              <w:rPr>
                <w:sz w:val="20"/>
                <w:szCs w:val="20"/>
                <w:color w:val="auto"/>
              </w:rPr>
            </w:pPr>
          </w:p>
        </w:tc>
      </w:tr>
      <w:tr>
        <w:trPr>
          <w:trHeight w:val="247"/>
        </w:trPr>
        <w:tc>
          <w:tcPr>
            <w:tcW w:w="9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2026 and thereafter</w:t>
            </w:r>
          </w:p>
        </w:tc>
        <w:tc>
          <w:tcPr>
            <w:tcW w:w="7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9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w:t>
            </w:r>
          </w:p>
        </w:tc>
        <w:tc>
          <w:tcPr>
            <w:tcW w:w="100" w:type="dxa"/>
            <w:vAlign w:val="bottom"/>
          </w:tcPr>
          <w:p>
            <w:pPr>
              <w:spacing w:after="0"/>
              <w:rPr>
                <w:sz w:val="20"/>
                <w:szCs w:val="20"/>
                <w:color w:val="auto"/>
              </w:rPr>
            </w:pPr>
          </w:p>
        </w:tc>
      </w:tr>
      <w:tr>
        <w:trPr>
          <w:trHeight w:val="247"/>
        </w:trPr>
        <w:tc>
          <w:tcPr>
            <w:tcW w:w="9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7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(477 )</w:t>
            </w:r>
          </w:p>
        </w:tc>
      </w:tr>
      <w:tr>
        <w:trPr>
          <w:trHeight w:val="236"/>
        </w:trPr>
        <w:tc>
          <w:tcPr>
            <w:tcW w:w="92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11,090</w:t>
            </w:r>
          </w:p>
        </w:tc>
        <w:tc>
          <w:tcPr>
            <w:tcW w:w="100" w:type="dxa"/>
            <w:vAlign w:val="bottom"/>
            <w:tcBorders>
              <w:top w:val="single" w:sz="8" w:color="CFF0FC"/>
            </w:tcBorders>
          </w:tcPr>
          <w:p>
            <w:pPr>
              <w:spacing w:after="0"/>
              <w:rPr>
                <w:sz w:val="20"/>
                <w:szCs w:val="20"/>
                <w:color w:val="auto"/>
              </w:rPr>
            </w:pPr>
          </w:p>
        </w:tc>
      </w:tr>
      <w:tr>
        <w:trPr>
          <w:trHeight w:val="20"/>
        </w:trPr>
        <w:tc>
          <w:tcPr>
            <w:tcW w:w="9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2021 and 2020, rent expense was $3.9 million and $4.2 million, respectively.</w:t>
      </w:r>
    </w:p>
    <w:p>
      <w:pPr>
        <w:spacing w:after="0" w:line="370"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legal and regulatory matters arising from the normal course of business activities.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93" w:lineRule="exact"/>
        <w:rPr>
          <w:sz w:val="20"/>
          <w:szCs w:val="20"/>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attributable to the Company’s common stockholders is computed in conformity with the two-class method required for participating securities. Prior to the automatic conversion of all of its redeemable convertible preferred stock</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3" w:right="279" w:bottom="1440" w:gutter="0" w:footer="0" w:header="0"/>
        </w:sectPr>
      </w:pPr>
    </w:p>
    <w:bookmarkStart w:id="95" w:name="page96"/>
    <w:bookmarkEnd w:id="95"/>
    <w:p>
      <w:pPr>
        <w:spacing w:after="0" w:line="261" w:lineRule="auto"/>
        <w:rPr>
          <w:sz w:val="20"/>
          <w:szCs w:val="20"/>
          <w:color w:val="auto"/>
        </w:rPr>
      </w:pPr>
      <w:r>
        <w:rPr>
          <w:rFonts w:ascii="Times New Roman" w:cs="Times New Roman" w:eastAsia="Times New Roman" w:hAnsi="Times New Roman"/>
          <w:sz w:val="18"/>
          <w:szCs w:val="18"/>
          <w:color w:val="auto"/>
        </w:rPr>
        <w:t>outstanding into Class B common stock concurrent with the Direct Listing, the Company considered all series of its redeemable convertible preferred stock to be participating securities as holders of such stock had the right to receive nonforfeitable dividends on a ratable basis in the event that a dividend was paid on common stock. Under the two-class method, the net loss attributable to common stockholders was not allocated to the redeemable convertible preferred stock as the preferred stockholders did not have a contractual obligation to share in the Company's losses.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the Company’s common stockholders by the weighted-average number of shares of common stock outstanding during the period. Diluted net loss per share is the same as basic net loss per share for all periods presented because the effects of potentially dilutive items were anti-dilutive given the Company’s net loss position in each period presented.</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rights, including the liquidation and dividend rights, of the holders of Class A and Class B common stock are identical, except with respect to voting, conversion, and transfer rights. As the liquidation and dividend rights are identical, all undistributed earnings are allocated on a proportionate basis to each class of common stock and the resulting basic and diluted net loss per share attributable to common stockholders are, therefore, the same for both Class A and Class B common stock on both an individual and a combined basis.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8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Class A and Class B common stockholders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(93,377 )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(74,983 )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(24,567 )</w:t>
            </w:r>
          </w:p>
        </w:tc>
        <w:tc>
          <w:tcPr>
            <w:tcW w:w="0" w:type="dxa"/>
            <w:vAlign w:val="bottom"/>
          </w:tcPr>
          <w:p>
            <w:pPr>
              <w:spacing w:after="0"/>
              <w:rPr>
                <w:sz w:val="1"/>
                <w:szCs w:val="1"/>
                <w:color w:val="auto"/>
              </w:rPr>
            </w:pPr>
          </w:p>
        </w:tc>
      </w:tr>
      <w:tr>
        <w:trPr>
          <w:trHeight w:val="211"/>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attributable to Class A and Class B common stockholders,</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111,437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51,360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60" w:type="dxa"/>
            <w:vAlign w:val="bottom"/>
            <w:shd w:val="clear" w:color="auto" w:fill="CFF0FC"/>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loss per share attributable to Class A and Class B</w:t>
            </w:r>
          </w:p>
        </w:tc>
        <w:tc>
          <w:tcPr>
            <w:tcW w:w="26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(0.84 )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(1.46 )</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(0.98 )</w:t>
            </w:r>
          </w:p>
        </w:tc>
        <w:tc>
          <w:tcPr>
            <w:tcW w:w="0" w:type="dxa"/>
            <w:vAlign w:val="bottom"/>
          </w:tcPr>
          <w:p>
            <w:pPr>
              <w:spacing w:after="0"/>
              <w:rPr>
                <w:sz w:val="1"/>
                <w:szCs w:val="1"/>
                <w:color w:val="auto"/>
              </w:rPr>
            </w:pPr>
          </w:p>
        </w:tc>
      </w:tr>
      <w:tr>
        <w:trPr>
          <w:trHeight w:val="227"/>
        </w:trPr>
        <w:tc>
          <w:tcPr>
            <w:tcW w:w="5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60" w:type="dxa"/>
            <w:vAlign w:val="bottom"/>
            <w:vMerge w:val="continue"/>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03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03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were excluded from the calculation of diluted net loss per share because their effect would have been anti-dilutive for the periods presented (in thousands):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25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920" w:type="dxa"/>
            <w:vAlign w:val="bottom"/>
          </w:tcPr>
          <w:p>
            <w:pPr>
              <w:spacing w:after="0"/>
              <w:rPr>
                <w:sz w:val="21"/>
                <w:szCs w:val="21"/>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61,718</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Non-plan 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Equity plan stock options outstanding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21,214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28,445</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plan stock options early exercised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RSUs outstanding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5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27,716</w:t>
            </w:r>
          </w:p>
        </w:tc>
        <w:tc>
          <w:tcPr>
            <w:tcW w:w="2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24,290</w:t>
            </w:r>
          </w:p>
        </w:tc>
        <w:tc>
          <w:tcPr>
            <w:tcW w:w="1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603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January and February 2023, the Company issued 1.0 million RSUs to its employees with service-based vesting conditions. The service-based vesting condition for the majority of these awards is satisfied over three years. The grant date fair value of the RSUs issued in January and February 2023 was approximately $14.4 million.</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Annual Report on Form 10-K. Based on that evaluation, our principal executive officer and principal financial officer have concluded that as of the end of the period covered by this Annual Report on Form 10-K,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based on the criteria set forth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Based on that assessment, management has concluded that our internal control over financial reporting was effective as of December 31, 2022 to provide reasonable assurance regarding the reliability of financial reporting and the preparation of financial statements for external purposes in accordance with GAAP. Our independent registered public accounting firm, KPMG LLP, who audited the consolidated financial statements included in this Annual Report on Form 10-K, issued an audit report on our internal control over financial reporting. That Report of Independent Registered Public Accounting Firm is included in Item 8 of this Annual Report on Form 10-K.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7" w:name="page98"/>
    <w:bookmarkEnd w:id="97"/>
    <w:p>
      <w:pPr>
        <w:ind w:left="55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maintain a code of business conduct and ethics that incorporates our code of ethics applicable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Investor Relations website at investors.amplitude.com.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18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by reference to the definitive Proxy Statement for our 2023 Annual Meeting of Stockholders, which will be filed with the SEC no later than 120 days after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98" w:name="page99"/>
    <w:bookmarkEnd w:id="9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financial statement are included in Part II, Item 8 of this Annual Report on Form 10-K:</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520" w:right="650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 of Independent Registered Public Accounting Firm Consolidated Balance Sheets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Statements of Operations and Comprehensive Loss</w:t>
      </w:r>
    </w:p>
    <w:p>
      <w:pPr>
        <w:spacing w:after="0" w:line="117" w:lineRule="exact"/>
        <w:rPr>
          <w:rFonts w:ascii="Times New Roman" w:cs="Times New Roman" w:eastAsia="Times New Roman" w:hAnsi="Times New Roman"/>
          <w:sz w:val="18"/>
          <w:szCs w:val="18"/>
          <w:b w:val="1"/>
          <w:bCs w:val="1"/>
          <w:color w:val="auto"/>
        </w:rPr>
      </w:pPr>
    </w:p>
    <w:p>
      <w:pPr>
        <w:ind w:left="520" w:right="320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Consolidated Statements of Redeemable Convertible Preferred Stock and Stockholders’ Equity (Deficit) Consolidated Statements of Cash Flows</w:t>
      </w:r>
    </w:p>
    <w:p>
      <w:pPr>
        <w:spacing w:after="0" w:line="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rFonts w:ascii="Times New Roman" w:cs="Times New Roman" w:eastAsia="Times New Roman" w:hAnsi="Times New Roman"/>
          <w:sz w:val="18"/>
          <w:szCs w:val="18"/>
          <w:b w:val="1"/>
          <w:bCs w:val="1"/>
          <w:color w:val="auto"/>
        </w:rPr>
      </w:pPr>
    </w:p>
    <w:p>
      <w:pPr>
        <w:spacing w:after="0" w:line="237"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 information required to be set forth therein is not applicable or is shown in the financial statements or notes herein.</w:t>
      </w:r>
    </w:p>
    <w:p>
      <w:pPr>
        <w:spacing w:after="0" w:line="374"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1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Filing Date  Filed</w:t>
            </w:r>
          </w:p>
        </w:tc>
      </w:tr>
      <w:tr>
        <w:trPr>
          <w:trHeight w:val="23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Herewith</w:t>
            </w: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5120" w:type="dxa"/>
            <w:vAlign w:val="bottom"/>
            <w:gridSpan w:val="21"/>
          </w:tcPr>
          <w:p>
            <w:pPr>
              <w:spacing w:after="0" w:line="194"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Restated Certificate of Incorporation of the Registrant.</w:t>
              </w:r>
            </w:hyperlink>
          </w:p>
        </w:tc>
        <w:tc>
          <w:tcPr>
            <w:tcW w:w="40" w:type="dxa"/>
            <w:vAlign w:val="bottom"/>
          </w:tcPr>
          <w:p>
            <w:pPr>
              <w:spacing w:after="0"/>
              <w:rPr>
                <w:sz w:val="16"/>
                <w:szCs w:val="16"/>
                <w:color w:val="auto"/>
              </w:rPr>
            </w:pPr>
          </w:p>
        </w:tc>
        <w:tc>
          <w:tcPr>
            <w:tcW w:w="7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300"/>
              <w:spacing w:after="0" w:line="194" w:lineRule="exact"/>
              <w:rPr>
                <w:sz w:val="20"/>
                <w:szCs w:val="20"/>
                <w:color w:val="auto"/>
              </w:rPr>
            </w:pPr>
            <w:r>
              <w:rPr>
                <w:rFonts w:ascii="Times New Roman" w:cs="Times New Roman" w:eastAsia="Times New Roman" w:hAnsi="Times New Roman"/>
                <w:sz w:val="18"/>
                <w:szCs w:val="18"/>
                <w:color w:val="auto"/>
              </w:rPr>
              <w:t>001-40817</w:t>
            </w:r>
          </w:p>
        </w:tc>
        <w:tc>
          <w:tcPr>
            <w:tcW w:w="86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220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9/21/2021</w:t>
            </w: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54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Amended and Restated Bylaws of the Registrant.</w:t>
              </w:r>
            </w:hyperlink>
          </w:p>
        </w:tc>
        <w:tc>
          <w:tcPr>
            <w:tcW w:w="20" w:type="dxa"/>
            <w:vAlign w:val="bottom"/>
            <w:tcBorders>
              <w:top w:val="single" w:sz="8" w:color="0000FF"/>
              <w:bottom w:val="single" w:sz="8" w:color="0000EE"/>
            </w:tcBorders>
          </w:tcPr>
          <w:p>
            <w:pPr>
              <w:spacing w:after="0"/>
              <w:rPr>
                <w:sz w:val="18"/>
                <w:szCs w:val="18"/>
                <w:color w:val="auto"/>
              </w:rPr>
            </w:pPr>
          </w:p>
        </w:tc>
        <w:tc>
          <w:tcPr>
            <w:tcW w:w="360" w:type="dxa"/>
            <w:vAlign w:val="bottom"/>
            <w:tcBorders>
              <w:top w:val="single" w:sz="8" w:color="0000FF"/>
            </w:tcBorders>
            <w:gridSpan w:val="2"/>
          </w:tcPr>
          <w:p>
            <w:pPr>
              <w:spacing w:after="0"/>
              <w:rPr>
                <w:sz w:val="18"/>
                <w:szCs w:val="18"/>
                <w:color w:val="auto"/>
              </w:rPr>
            </w:pPr>
          </w:p>
        </w:tc>
        <w:tc>
          <w:tcPr>
            <w:tcW w:w="1200" w:type="dxa"/>
            <w:vAlign w:val="bottom"/>
            <w:gridSpan w:val="6"/>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001-40817</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9/21/2021</w:t>
            </w: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47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Description of Securities Registered Pursuant to Section 12 of the</w:t>
              </w:r>
            </w:hyperlink>
          </w:p>
        </w:tc>
        <w:tc>
          <w:tcPr>
            <w:tcW w:w="3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001-40817</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2/16/2022</w:t>
            </w:r>
          </w:p>
        </w:tc>
      </w:tr>
      <w:tr>
        <w:trPr>
          <w:trHeight w:val="196"/>
        </w:trPr>
        <w:tc>
          <w:tcPr>
            <w:tcW w:w="1040" w:type="dxa"/>
            <w:vAlign w:val="bottom"/>
          </w:tcPr>
          <w:p>
            <w:pPr>
              <w:spacing w:after="0"/>
              <w:rPr>
                <w:sz w:val="17"/>
                <w:szCs w:val="17"/>
                <w:color w:val="auto"/>
              </w:rPr>
            </w:pPr>
          </w:p>
        </w:tc>
        <w:tc>
          <w:tcPr>
            <w:tcW w:w="5120" w:type="dxa"/>
            <w:vAlign w:val="bottom"/>
            <w:gridSpan w:val="21"/>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Securities Exchange Act of 1934.</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51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Specimen Stock Certificate evidencing the shares of Class A Common</w:t>
              </w:r>
            </w:hyperlink>
          </w:p>
        </w:tc>
        <w:tc>
          <w:tcPr>
            <w:tcW w:w="4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333-259168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8/30/2021</w:t>
            </w:r>
          </w:p>
        </w:tc>
      </w:tr>
      <w:tr>
        <w:trPr>
          <w:trHeight w:val="196"/>
        </w:trPr>
        <w:tc>
          <w:tcPr>
            <w:tcW w:w="1040" w:type="dxa"/>
            <w:vAlign w:val="bottom"/>
          </w:tcPr>
          <w:p>
            <w:pPr>
              <w:spacing w:after="0"/>
              <w:rPr>
                <w:sz w:val="17"/>
                <w:szCs w:val="17"/>
                <w:color w:val="auto"/>
              </w:rPr>
            </w:pPr>
          </w:p>
        </w:tc>
        <w:tc>
          <w:tcPr>
            <w:tcW w:w="5120" w:type="dxa"/>
            <w:vAlign w:val="bottom"/>
            <w:gridSpan w:val="21"/>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Stock.</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51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Specimen Stock Certificate evidencing the shares of Class B Common</w:t>
              </w:r>
            </w:hyperlink>
          </w:p>
        </w:tc>
        <w:tc>
          <w:tcPr>
            <w:tcW w:w="4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S-8</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333-259698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9/21/2021</w:t>
            </w:r>
          </w:p>
        </w:tc>
      </w:tr>
      <w:tr>
        <w:trPr>
          <w:trHeight w:val="196"/>
        </w:trPr>
        <w:tc>
          <w:tcPr>
            <w:tcW w:w="1040" w:type="dxa"/>
            <w:vAlign w:val="bottom"/>
          </w:tcPr>
          <w:p>
            <w:pPr>
              <w:spacing w:after="0"/>
              <w:rPr>
                <w:sz w:val="17"/>
                <w:szCs w:val="17"/>
                <w:color w:val="auto"/>
              </w:rPr>
            </w:pPr>
          </w:p>
        </w:tc>
        <w:tc>
          <w:tcPr>
            <w:tcW w:w="5120" w:type="dxa"/>
            <w:vAlign w:val="bottom"/>
            <w:gridSpan w:val="21"/>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Stock.</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50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Amended and Restated Investors’ Rights Agreement, dated as of May</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333-259168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8/30/2021</w:t>
            </w:r>
          </w:p>
        </w:tc>
      </w:tr>
      <w:tr>
        <w:trPr>
          <w:trHeight w:val="196"/>
        </w:trPr>
        <w:tc>
          <w:tcPr>
            <w:tcW w:w="1040" w:type="dxa"/>
            <w:vAlign w:val="bottom"/>
          </w:tcPr>
          <w:p>
            <w:pPr>
              <w:spacing w:after="0"/>
              <w:rPr>
                <w:sz w:val="17"/>
                <w:szCs w:val="17"/>
                <w:color w:val="auto"/>
              </w:rPr>
            </w:pPr>
          </w:p>
        </w:tc>
        <w:tc>
          <w:tcPr>
            <w:tcW w:w="50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28, 2021, as amended, by and among the Registrant and certain of its</w:t>
              </w:r>
            </w:hyperlink>
          </w:p>
        </w:tc>
        <w:tc>
          <w:tcPr>
            <w:tcW w:w="1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120" w:type="dxa"/>
            <w:vAlign w:val="bottom"/>
            <w:gridSpan w:val="21"/>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stockholders.</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5900" w:type="dxa"/>
            <w:vAlign w:val="bottom"/>
            <w:gridSpan w:val="23"/>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 xml:space="preserve">Warrant to Purchase Common Stock, dated November 22, 2017, issued </w:t>
              </w:r>
            </w:hyperlink>
            <w:r>
              <w:rPr>
                <w:rFonts w:ascii="Times New Roman" w:cs="Times New Roman" w:eastAsia="Times New Roman" w:hAnsi="Times New Roman"/>
                <w:sz w:val="18"/>
                <w:szCs w:val="18"/>
                <w:color w:val="000000"/>
              </w:rPr>
              <w:t>S-1</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333-259168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8/30/2021</w:t>
            </w:r>
          </w:p>
        </w:tc>
      </w:tr>
      <w:tr>
        <w:trPr>
          <w:trHeight w:val="196"/>
        </w:trPr>
        <w:tc>
          <w:tcPr>
            <w:tcW w:w="1040" w:type="dxa"/>
            <w:vAlign w:val="bottom"/>
          </w:tcPr>
          <w:p>
            <w:pPr>
              <w:spacing w:after="0"/>
              <w:rPr>
                <w:sz w:val="17"/>
                <w:szCs w:val="17"/>
                <w:color w:val="auto"/>
              </w:rPr>
            </w:pPr>
          </w:p>
        </w:tc>
        <w:tc>
          <w:tcPr>
            <w:tcW w:w="178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7"/>
              </w:rPr>
            </w:pPr>
            <w:hyperlink r:id="rId346">
              <w:r>
                <w:rPr>
                  <w:rFonts w:ascii="Times New Roman" w:cs="Times New Roman" w:eastAsia="Times New Roman" w:hAnsi="Times New Roman"/>
                  <w:sz w:val="18"/>
                  <w:szCs w:val="18"/>
                  <w:color w:val="0000FF"/>
                  <w:w w:val="97"/>
                </w:rPr>
                <w:t>to Pacific Western Bank.</w:t>
              </w:r>
            </w:hyperlink>
          </w:p>
        </w:tc>
        <w:tc>
          <w:tcPr>
            <w:tcW w:w="3340" w:type="dxa"/>
            <w:vAlign w:val="bottom"/>
            <w:tcBorders>
              <w:top w:val="single" w:sz="8" w:color="0000FF"/>
            </w:tcBorders>
            <w:gridSpan w:val="15"/>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47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Sublease, dated May 13, 2021, by and between the Registrant and</w:t>
              </w:r>
            </w:hyperlink>
          </w:p>
        </w:tc>
        <w:tc>
          <w:tcPr>
            <w:tcW w:w="34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333-259168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8/30/2021</w:t>
            </w:r>
          </w:p>
        </w:tc>
      </w:tr>
      <w:tr>
        <w:trPr>
          <w:trHeight w:val="196"/>
        </w:trPr>
        <w:tc>
          <w:tcPr>
            <w:tcW w:w="1040" w:type="dxa"/>
            <w:vAlign w:val="bottom"/>
          </w:tcPr>
          <w:p>
            <w:pPr>
              <w:spacing w:after="0"/>
              <w:rPr>
                <w:sz w:val="17"/>
                <w:szCs w:val="17"/>
                <w:color w:val="auto"/>
              </w:rPr>
            </w:pPr>
          </w:p>
        </w:tc>
        <w:tc>
          <w:tcPr>
            <w:tcW w:w="12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7"/>
              </w:rPr>
            </w:pPr>
            <w:hyperlink r:id="rId347">
              <w:r>
                <w:rPr>
                  <w:rFonts w:ascii="Times New Roman" w:cs="Times New Roman" w:eastAsia="Times New Roman" w:hAnsi="Times New Roman"/>
                  <w:sz w:val="18"/>
                  <w:szCs w:val="18"/>
                  <w:color w:val="0000FF"/>
                  <w:w w:val="97"/>
                </w:rPr>
                <w:t>Postmates, LLC.</w:t>
              </w:r>
            </w:hyperlink>
          </w:p>
        </w:tc>
        <w:tc>
          <w:tcPr>
            <w:tcW w:w="20" w:type="dxa"/>
            <w:vAlign w:val="bottom"/>
            <w:tcBorders>
              <w:bottom w:val="single" w:sz="8" w:color="0000EE"/>
            </w:tcBorders>
          </w:tcPr>
          <w:p>
            <w:pPr>
              <w:spacing w:after="0"/>
              <w:rPr>
                <w:sz w:val="17"/>
                <w:szCs w:val="17"/>
                <w:color w:val="auto"/>
              </w:rPr>
            </w:pPr>
          </w:p>
        </w:tc>
        <w:tc>
          <w:tcPr>
            <w:tcW w:w="3900" w:type="dxa"/>
            <w:vAlign w:val="bottom"/>
            <w:gridSpan w:val="16"/>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10.2(a)#</w:t>
            </w:r>
          </w:p>
        </w:tc>
        <w:tc>
          <w:tcPr>
            <w:tcW w:w="44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Amended and Restated 2014 Stock Option and Grant Plan, as</w:t>
              </w:r>
            </w:hyperlink>
          </w:p>
        </w:tc>
        <w:tc>
          <w:tcPr>
            <w:tcW w:w="640" w:type="dxa"/>
            <w:vAlign w:val="bottom"/>
            <w:gridSpan w:val="5"/>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333-259168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10.2(a)</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8/30/2021</w:t>
            </w:r>
          </w:p>
        </w:tc>
      </w:tr>
      <w:tr>
        <w:trPr>
          <w:trHeight w:val="196"/>
        </w:trPr>
        <w:tc>
          <w:tcPr>
            <w:tcW w:w="1040" w:type="dxa"/>
            <w:vAlign w:val="bottom"/>
          </w:tcPr>
          <w:p>
            <w:pPr>
              <w:spacing w:after="0"/>
              <w:rPr>
                <w:sz w:val="17"/>
                <w:szCs w:val="17"/>
                <w:color w:val="auto"/>
              </w:rPr>
            </w:pPr>
          </w:p>
        </w:tc>
        <w:tc>
          <w:tcPr>
            <w:tcW w:w="5120" w:type="dxa"/>
            <w:vAlign w:val="bottom"/>
            <w:gridSpan w:val="21"/>
          </w:tcPr>
          <w:p>
            <w:pPr>
              <w:spacing w:after="0" w:line="196"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amended.</w:t>
              </w:r>
            </w:hyperlink>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10.2(b)#</w:t>
            </w:r>
          </w:p>
        </w:tc>
        <w:tc>
          <w:tcPr>
            <w:tcW w:w="49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Form Agreements under Amended and Restated 2014 Stock Option</w:t>
              </w:r>
            </w:hyperlink>
          </w:p>
        </w:tc>
        <w:tc>
          <w:tcPr>
            <w:tcW w:w="20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333-259168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10.2(b)</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8/30/2021</w:t>
            </w:r>
          </w:p>
        </w:tc>
      </w:tr>
      <w:tr>
        <w:trPr>
          <w:trHeight w:val="196"/>
        </w:trPr>
        <w:tc>
          <w:tcPr>
            <w:tcW w:w="1040" w:type="dxa"/>
            <w:vAlign w:val="bottom"/>
          </w:tcPr>
          <w:p>
            <w:pPr>
              <w:spacing w:after="0"/>
              <w:rPr>
                <w:sz w:val="17"/>
                <w:szCs w:val="17"/>
                <w:color w:val="auto"/>
              </w:rPr>
            </w:pPr>
          </w:p>
        </w:tc>
        <w:tc>
          <w:tcPr>
            <w:tcW w:w="20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and Grant Plan, as amended.</w:t>
              </w:r>
            </w:hyperlink>
          </w:p>
        </w:tc>
        <w:tc>
          <w:tcPr>
            <w:tcW w:w="306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10.3(a)#</w:t>
            </w:r>
          </w:p>
        </w:tc>
        <w:tc>
          <w:tcPr>
            <w:tcW w:w="20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350">
              <w:r>
                <w:rPr>
                  <w:rFonts w:ascii="Times New Roman" w:cs="Times New Roman" w:eastAsia="Times New Roman" w:hAnsi="Times New Roman"/>
                  <w:sz w:val="18"/>
                  <w:szCs w:val="18"/>
                  <w:color w:val="0000FF"/>
                  <w:w w:val="98"/>
                </w:rPr>
                <w:t>2021 Incentive Award Plan.</w:t>
              </w:r>
            </w:hyperlink>
          </w:p>
        </w:tc>
        <w:tc>
          <w:tcPr>
            <w:tcW w:w="20" w:type="dxa"/>
            <w:vAlign w:val="bottom"/>
            <w:tcBorders>
              <w:bottom w:val="single" w:sz="8" w:color="0000EE"/>
            </w:tcBorders>
          </w:tcPr>
          <w:p>
            <w:pPr>
              <w:spacing w:after="0"/>
              <w:rPr>
                <w:sz w:val="19"/>
                <w:szCs w:val="19"/>
                <w:color w:val="auto"/>
              </w:rPr>
            </w:pPr>
          </w:p>
        </w:tc>
        <w:tc>
          <w:tcPr>
            <w:tcW w:w="3100" w:type="dxa"/>
            <w:vAlign w:val="bottom"/>
            <w:gridSpan w:val="13"/>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333-259168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10.3(a)</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8/30/2021</w:t>
            </w:r>
          </w:p>
        </w:tc>
      </w:tr>
      <w:tr>
        <w:trPr>
          <w:trHeight w:val="43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10.3(b)#</w:t>
            </w:r>
          </w:p>
        </w:tc>
        <w:tc>
          <w:tcPr>
            <w:tcW w:w="38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351">
              <w:r>
                <w:rPr>
                  <w:rFonts w:ascii="Times New Roman" w:cs="Times New Roman" w:eastAsia="Times New Roman" w:hAnsi="Times New Roman"/>
                  <w:sz w:val="18"/>
                  <w:szCs w:val="18"/>
                  <w:color w:val="0000FF"/>
                  <w:w w:val="98"/>
                </w:rPr>
                <w:t>Form Agreements under 2021 Incentive Award Plan.</w:t>
              </w:r>
            </w:hyperlink>
          </w:p>
        </w:tc>
        <w:tc>
          <w:tcPr>
            <w:tcW w:w="132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333-259168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10.3(b)</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8/30/2021</w:t>
            </w:r>
          </w:p>
        </w:tc>
      </w:tr>
      <w:tr>
        <w:trPr>
          <w:trHeight w:val="43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120" w:type="dxa"/>
            <w:vAlign w:val="bottom"/>
            <w:gridSpan w:val="21"/>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2021 Employee Stock Purchase Plan.</w:t>
              </w:r>
            </w:hyperlink>
          </w:p>
        </w:tc>
        <w:tc>
          <w:tcPr>
            <w:tcW w:w="4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333-259168</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8/30/2021</w:t>
            </w:r>
          </w:p>
        </w:tc>
      </w:tr>
      <w:tr>
        <w:trPr>
          <w:trHeight w:val="587"/>
        </w:trPr>
        <w:tc>
          <w:tcPr>
            <w:tcW w:w="1040" w:type="dxa"/>
            <w:vAlign w:val="bottom"/>
          </w:tcPr>
          <w:p>
            <w:pPr>
              <w:spacing w:after="0"/>
              <w:rPr>
                <w:sz w:val="24"/>
                <w:szCs w:val="24"/>
                <w:color w:val="auto"/>
              </w:rPr>
            </w:pPr>
          </w:p>
        </w:tc>
        <w:tc>
          <w:tcPr>
            <w:tcW w:w="2680" w:type="dxa"/>
            <w:vAlign w:val="bottom"/>
            <w:tcBorders>
              <w:top w:val="single" w:sz="8" w:color="0000FF"/>
            </w:tcBorders>
            <w:gridSpan w:val="11"/>
          </w:tcPr>
          <w:p>
            <w:pPr>
              <w:spacing w:after="0"/>
              <w:rPr>
                <w:sz w:val="24"/>
                <w:szCs w:val="24"/>
                <w:color w:val="auto"/>
              </w:rPr>
            </w:pPr>
          </w:p>
        </w:tc>
        <w:tc>
          <w:tcPr>
            <w:tcW w:w="21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0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Form of Indemnification Agreement between the Registrant and each</w:t>
              </w:r>
            </w:hyperlink>
          </w:p>
        </w:tc>
        <w:tc>
          <w:tcPr>
            <w:tcW w:w="120" w:type="dxa"/>
            <w:vAlign w:val="bottom"/>
            <w:gridSpan w:val="3"/>
          </w:tcPr>
          <w:p>
            <w:pPr>
              <w:spacing w:after="0"/>
              <w:rPr>
                <w:sz w:val="17"/>
                <w:szCs w:val="17"/>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333-259168</w:t>
            </w: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10.5</w:t>
            </w:r>
          </w:p>
        </w:tc>
        <w:tc>
          <w:tcPr>
            <w:tcW w:w="1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8/30/2021</w:t>
            </w:r>
          </w:p>
        </w:tc>
      </w:tr>
      <w:tr>
        <w:trPr>
          <w:trHeight w:val="196"/>
        </w:trPr>
        <w:tc>
          <w:tcPr>
            <w:tcW w:w="1020" w:type="dxa"/>
            <w:vAlign w:val="bottom"/>
          </w:tcPr>
          <w:p>
            <w:pPr>
              <w:spacing w:after="0"/>
              <w:rPr>
                <w:sz w:val="17"/>
                <w:szCs w:val="17"/>
                <w:color w:val="auto"/>
              </w:rPr>
            </w:pPr>
          </w:p>
        </w:tc>
        <w:tc>
          <w:tcPr>
            <w:tcW w:w="28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355">
              <w:r>
                <w:rPr>
                  <w:rFonts w:ascii="Times New Roman" w:cs="Times New Roman" w:eastAsia="Times New Roman" w:hAnsi="Times New Roman"/>
                  <w:sz w:val="18"/>
                  <w:szCs w:val="18"/>
                  <w:color w:val="0000FF"/>
                  <w:w w:val="98"/>
                </w:rPr>
                <w:t>of its Directors and Executive Officers.</w:t>
              </w:r>
            </w:hyperlink>
          </w:p>
        </w:tc>
        <w:tc>
          <w:tcPr>
            <w:tcW w:w="20" w:type="dxa"/>
            <w:vAlign w:val="bottom"/>
            <w:tcBorders>
              <w:bottom w:val="single" w:sz="8" w:color="0000EE"/>
            </w:tcBorders>
          </w:tcPr>
          <w:p>
            <w:pPr>
              <w:spacing w:after="0"/>
              <w:rPr>
                <w:sz w:val="17"/>
                <w:szCs w:val="17"/>
                <w:color w:val="auto"/>
              </w:rPr>
            </w:pPr>
          </w:p>
        </w:tc>
        <w:tc>
          <w:tcPr>
            <w:tcW w:w="2320" w:type="dxa"/>
            <w:vAlign w:val="bottom"/>
            <w:gridSpan w:val="17"/>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5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Non-Employee Director Compensation Program.</w:t>
              </w:r>
            </w:hyperlink>
          </w:p>
        </w:tc>
        <w:tc>
          <w:tcPr>
            <w:tcW w:w="20" w:type="dxa"/>
            <w:vAlign w:val="bottom"/>
            <w:tcBorders>
              <w:bottom w:val="single" w:sz="8" w:color="0000EE"/>
            </w:tcBorders>
          </w:tcPr>
          <w:p>
            <w:pPr>
              <w:spacing w:after="0"/>
              <w:rPr>
                <w:sz w:val="19"/>
                <w:szCs w:val="19"/>
                <w:color w:val="auto"/>
              </w:rPr>
            </w:pPr>
          </w:p>
        </w:tc>
        <w:tc>
          <w:tcPr>
            <w:tcW w:w="1600" w:type="dxa"/>
            <w:vAlign w:val="bottom"/>
            <w:gridSpan w:val="15"/>
          </w:tcPr>
          <w:p>
            <w:pPr>
              <w:spacing w:after="0"/>
              <w:rPr>
                <w:sz w:val="19"/>
                <w:szCs w:val="19"/>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333-259168</w:t>
            </w: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w:t>
            </w:r>
          </w:p>
        </w:tc>
        <w:tc>
          <w:tcPr>
            <w:tcW w:w="1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8/30/2021</w:t>
            </w:r>
          </w:p>
        </w:tc>
      </w:tr>
      <w:tr>
        <w:trPr>
          <w:trHeight w:val="43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Form of Executive Employment Agreement between the Registrant</w:t>
            </w:r>
          </w:p>
        </w:tc>
        <w:tc>
          <w:tcPr>
            <w:tcW w:w="26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20" w:type="dxa"/>
            <w:vAlign w:val="bottom"/>
          </w:tcPr>
          <w:p>
            <w:pPr>
              <w:spacing w:after="0"/>
              <w:rPr>
                <w:sz w:val="17"/>
                <w:szCs w:val="17"/>
                <w:color w:val="auto"/>
              </w:rPr>
            </w:pPr>
          </w:p>
        </w:tc>
        <w:tc>
          <w:tcPr>
            <w:tcW w:w="24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and each of its Executive Officers.</w:t>
            </w:r>
          </w:p>
        </w:tc>
        <w:tc>
          <w:tcPr>
            <w:tcW w:w="2680" w:type="dxa"/>
            <w:vAlign w:val="bottom"/>
            <w:gridSpan w:val="19"/>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Subsidiaries of Registrant</w:t>
            </w:r>
          </w:p>
        </w:tc>
        <w:tc>
          <w:tcPr>
            <w:tcW w:w="20" w:type="dxa"/>
            <w:vAlign w:val="bottom"/>
            <w:tcBorders>
              <w:bottom w:val="single" w:sz="8" w:color="0000EE"/>
            </w:tcBorders>
          </w:tcPr>
          <w:p>
            <w:pPr>
              <w:spacing w:after="0"/>
              <w:rPr>
                <w:sz w:val="18"/>
                <w:szCs w:val="18"/>
                <w:color w:val="auto"/>
              </w:rPr>
            </w:pPr>
          </w:p>
        </w:tc>
        <w:tc>
          <w:tcPr>
            <w:tcW w:w="3280" w:type="dxa"/>
            <w:vAlign w:val="bottom"/>
            <w:gridSpan w:val="20"/>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Consent of KPMG LLP, independent registered public accounting firm.</w:t>
            </w: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1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Power of Attorney (included in signature page hereto)</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20"/>
        </w:trPr>
        <w:tc>
          <w:tcPr>
            <w:tcW w:w="10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right w:val="single" w:sz="8" w:color="0000EE"/>
            </w:tcBorders>
            <w:gridSpan w:val="8"/>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w:t>
            </w:r>
          </w:p>
        </w:tc>
        <w:tc>
          <w:tcPr>
            <w:tcW w:w="20" w:type="dxa"/>
            <w:vAlign w:val="bottom"/>
            <w:tcBorders>
              <w:bottom w:val="single" w:sz="8" w:color="0000EE"/>
            </w:tcBorders>
          </w:tcPr>
          <w:p>
            <w:pPr>
              <w:spacing w:after="0"/>
              <w:rPr>
                <w:sz w:val="18"/>
                <w:szCs w:val="18"/>
                <w:color w:val="auto"/>
              </w:rPr>
            </w:pPr>
          </w:p>
        </w:tc>
        <w:tc>
          <w:tcPr>
            <w:tcW w:w="340" w:type="dxa"/>
            <w:vAlign w:val="bottom"/>
            <w:gridSpan w:val="8"/>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20" w:type="dxa"/>
            <w:vAlign w:val="bottom"/>
          </w:tcPr>
          <w:p>
            <w:pPr>
              <w:spacing w:after="0"/>
              <w:rPr>
                <w:sz w:val="17"/>
                <w:szCs w:val="17"/>
                <w:color w:val="auto"/>
              </w:rPr>
            </w:pPr>
          </w:p>
        </w:tc>
        <w:tc>
          <w:tcPr>
            <w:tcW w:w="48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 Act of 1934, as</w:t>
            </w:r>
          </w:p>
        </w:tc>
        <w:tc>
          <w:tcPr>
            <w:tcW w:w="30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9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16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5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20" w:type="dxa"/>
            <w:vAlign w:val="bottom"/>
          </w:tcPr>
          <w:p>
            <w:pPr>
              <w:spacing w:after="0"/>
              <w:rPr>
                <w:sz w:val="17"/>
                <w:szCs w:val="17"/>
                <w:color w:val="auto"/>
              </w:rPr>
            </w:pPr>
          </w:p>
        </w:tc>
        <w:tc>
          <w:tcPr>
            <w:tcW w:w="51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3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820" w:type="dxa"/>
            <w:vAlign w:val="bottom"/>
            <w:gridSpan w:val="12"/>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380" w:type="dxa"/>
            <w:vAlign w:val="bottom"/>
            <w:gridSpan w:val="10"/>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20" w:type="dxa"/>
            <w:vAlign w:val="bottom"/>
          </w:tcPr>
          <w:p>
            <w:pPr>
              <w:spacing w:after="0"/>
              <w:rPr>
                <w:sz w:val="17"/>
                <w:szCs w:val="17"/>
                <w:color w:val="auto"/>
              </w:rPr>
            </w:pPr>
          </w:p>
        </w:tc>
        <w:tc>
          <w:tcPr>
            <w:tcW w:w="48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34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440" w:type="dxa"/>
            <w:vAlign w:val="bottom"/>
            <w:gridSpan w:val="11"/>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20" w:type="dxa"/>
            <w:vAlign w:val="bottom"/>
          </w:tcPr>
          <w:p>
            <w:pPr>
              <w:spacing w:after="0"/>
              <w:rPr>
                <w:sz w:val="17"/>
                <w:szCs w:val="17"/>
                <w:color w:val="auto"/>
              </w:rPr>
            </w:pPr>
          </w:p>
        </w:tc>
        <w:tc>
          <w:tcPr>
            <w:tcW w:w="48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w:t>
            </w:r>
          </w:p>
        </w:tc>
        <w:tc>
          <w:tcPr>
            <w:tcW w:w="34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1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3760" w:type="dxa"/>
            <w:vAlign w:val="bottom"/>
            <w:gridSpan w:val="2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4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020" w:type="dxa"/>
            <w:vAlign w:val="bottom"/>
          </w:tcPr>
          <w:p>
            <w:pPr>
              <w:spacing w:after="0"/>
              <w:rPr>
                <w:sz w:val="18"/>
                <w:szCs w:val="18"/>
                <w:color w:val="auto"/>
              </w:rPr>
            </w:pP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XBRL tags are embedded</w:t>
            </w: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45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45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44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1020" w:type="dxa"/>
            <w:vAlign w:val="bottom"/>
          </w:tcPr>
          <w:p>
            <w:pPr>
              <w:spacing w:after="0"/>
              <w:rPr>
                <w:sz w:val="20"/>
                <w:szCs w:val="20"/>
                <w:color w:val="auto"/>
              </w:rPr>
            </w:pP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document)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4" w:lineRule="exact"/>
        <w:rPr>
          <w:sz w:val="20"/>
          <w:szCs w:val="20"/>
          <w:color w:val="auto"/>
        </w:rPr>
      </w:pPr>
    </w:p>
    <w:p>
      <w:pPr>
        <w:ind w:firstLine="8"/>
        <w:spacing w:after="0" w:line="233" w:lineRule="auto"/>
        <w:tabs>
          <w:tab w:leader="none" w:pos="10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Annual Report on Form 10-K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0" w:name="page101"/>
    <w:bookmarkEnd w:id="10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jc w:val="center"/>
        <w:ind w:left="3560"/>
        <w:spacing w:after="0"/>
        <w:rPr>
          <w:sz w:val="20"/>
          <w:szCs w:val="20"/>
          <w:color w:val="auto"/>
        </w:rPr>
      </w:pPr>
      <w:r>
        <w:rPr>
          <w:rFonts w:ascii="Times New Roman" w:cs="Times New Roman" w:eastAsia="Times New Roman" w:hAnsi="Times New Roman"/>
          <w:sz w:val="18"/>
          <w:szCs w:val="18"/>
          <w:color w:val="auto"/>
        </w:rPr>
        <w:t>Amplitude, Inc.</w:t>
      </w:r>
    </w:p>
    <w:p>
      <w:pPr>
        <w:spacing w:after="0" w:line="22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By:</w:t>
      </w:r>
    </w:p>
    <w:p>
      <w:pPr>
        <w:spacing w:after="0" w:line="252"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8"/>
          <w:szCs w:val="18"/>
          <w:color w:val="auto"/>
        </w:rPr>
        <w:t>/s/ Spenser Skates</w:t>
      </w:r>
    </w:p>
    <w:p>
      <w:pPr>
        <w:spacing w:after="0" w:line="36"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-127635</wp:posOffset>
            </wp:positionV>
            <wp:extent cx="13544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16, 2023</w:t>
      </w:r>
    </w:p>
    <w:p>
      <w:pPr>
        <w:spacing w:after="0" w:line="3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3" w:right="53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Spenser Skates, Hoang Vuong, and Elizabeth Fisher,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22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5" w:lineRule="exact"/>
        <w:rPr>
          <w:sz w:val="20"/>
          <w:szCs w:val="20"/>
          <w:color w:val="auto"/>
        </w:rPr>
      </w:pPr>
    </w:p>
    <w:p>
      <w:pPr>
        <w:ind w:left="1740"/>
        <w:spacing w:after="0"/>
        <w:tabs>
          <w:tab w:leader="none" w:pos="6080" w:val="left"/>
          <w:tab w:leader="none" w:pos="958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28575</wp:posOffset>
            </wp:positionV>
            <wp:extent cx="67722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p>
      <w:pPr>
        <w:spacing w:after="0" w:line="27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Spenser Skates</w:t>
      </w:r>
    </w:p>
    <w:p>
      <w:pPr>
        <w:spacing w:after="0" w:line="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 Hoang Vuong</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Ninos Sarkis</w:t>
      </w:r>
    </w:p>
    <w:p>
      <w:pPr>
        <w:spacing w:after="0" w:line="3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Ninos Sarkis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Ron Gill</w:t>
      </w:r>
    </w:p>
    <w:p>
      <w:pPr>
        <w:spacing w:after="0" w:line="3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Ron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Pat Grady</w:t>
      </w:r>
    </w:p>
    <w:p>
      <w:pPr>
        <w:spacing w:after="0" w:line="3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Pat Grady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Curtis Liu</w:t>
      </w:r>
    </w:p>
    <w:p>
      <w:pPr>
        <w:spacing w:after="0" w:line="3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Curtis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Erica Schultz</w:t>
      </w:r>
    </w:p>
    <w:p>
      <w:pPr>
        <w:spacing w:after="0" w:line="3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Erica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Elisa Steele</w:t>
      </w:r>
    </w:p>
    <w:p>
      <w:pPr>
        <w:spacing w:after="0" w:line="3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Elisa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Eric Vishria</w:t>
      </w:r>
    </w:p>
    <w:p>
      <w:pPr>
        <w:spacing w:after="0" w:line="3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Eric Vishria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 James Whitehurst</w:t>
      </w:r>
    </w:p>
    <w:p>
      <w:pPr>
        <w:spacing w:after="0" w:line="4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James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Catherine Wong</w:t>
      </w:r>
    </w:p>
    <w:p>
      <w:pPr>
        <w:spacing w:after="0" w:line="3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Catherine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-127635</wp:posOffset>
            </wp:positionV>
            <wp:extent cx="228854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8"/>
          <w:szCs w:val="18"/>
          <w:color w:val="auto"/>
        </w:rPr>
        <w:t>Chief Executive Officer and Chairperson</w:t>
      </w:r>
      <w:r>
        <w:rPr>
          <w:sz w:val="20"/>
          <w:szCs w:val="20"/>
          <w:color w:val="auto"/>
        </w:rPr>
        <w:tab/>
      </w:r>
      <w:r>
        <w:rPr>
          <w:rFonts w:ascii="Times New Roman" w:cs="Times New Roman" w:eastAsia="Times New Roman" w:hAnsi="Times New Roman"/>
          <w:sz w:val="17"/>
          <w:szCs w:val="17"/>
          <w:color w:val="auto"/>
        </w:rPr>
        <w:t>February 16,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61"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8"/>
          <w:szCs w:val="18"/>
          <w:color w:val="auto"/>
        </w:rPr>
        <w:t>Chief Financial Officer</w:t>
      </w:r>
      <w:r>
        <w:rPr>
          <w:sz w:val="20"/>
          <w:szCs w:val="20"/>
          <w:color w:val="auto"/>
        </w:rPr>
        <w:tab/>
      </w:r>
      <w:r>
        <w:rPr>
          <w:rFonts w:ascii="Times New Roman" w:cs="Times New Roman" w:eastAsia="Times New Roman" w:hAnsi="Times New Roman"/>
          <w:sz w:val="17"/>
          <w:szCs w:val="17"/>
          <w:color w:val="auto"/>
        </w:rPr>
        <w:t>February 16,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61"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8"/>
          <w:szCs w:val="18"/>
          <w:color w:val="auto"/>
        </w:rPr>
        <w:t>Chief Accounting Officer</w:t>
      </w:r>
      <w:r>
        <w:rPr>
          <w:sz w:val="20"/>
          <w:szCs w:val="20"/>
          <w:color w:val="auto"/>
        </w:rPr>
        <w:tab/>
      </w:r>
      <w:r>
        <w:rPr>
          <w:rFonts w:ascii="Times New Roman" w:cs="Times New Roman" w:eastAsia="Times New Roman" w:hAnsi="Times New Roman"/>
          <w:sz w:val="17"/>
          <w:szCs w:val="17"/>
          <w:color w:val="auto"/>
        </w:rPr>
        <w:t>February 16,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61"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307"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307"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307"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307"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307"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307"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16, 2023</w:t>
      </w:r>
    </w:p>
    <w:p>
      <w:pPr>
        <w:spacing w:after="0" w:line="200" w:lineRule="exact"/>
        <w:rPr>
          <w:sz w:val="20"/>
          <w:szCs w:val="20"/>
          <w:color w:val="auto"/>
        </w:rPr>
      </w:pPr>
    </w:p>
    <w:p>
      <w:pPr>
        <w:spacing w:after="0" w:line="307"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7"/>
          <w:szCs w:val="17"/>
          <w:color w:val="auto"/>
        </w:rPr>
        <w:t>Director</w:t>
      </w:r>
      <w:r>
        <w:rPr>
          <w:sz w:val="20"/>
          <w:szCs w:val="20"/>
          <w:color w:val="auto"/>
        </w:rPr>
        <w:tab/>
      </w:r>
      <w:r>
        <w:rPr>
          <w:rFonts w:ascii="Times New Roman" w:cs="Times New Roman" w:eastAsia="Times New Roman" w:hAnsi="Times New Roman"/>
          <w:sz w:val="17"/>
          <w:szCs w:val="17"/>
          <w:color w:val="auto"/>
        </w:rPr>
        <w:t>February 16, 2023</w:t>
      </w:r>
    </w:p>
    <w:p>
      <w:pPr>
        <w:spacing w:after="0" w:line="441" w:lineRule="exact"/>
        <w:rPr>
          <w:sz w:val="20"/>
          <w:szCs w:val="20"/>
          <w:color w:val="auto"/>
        </w:rPr>
      </w:pPr>
    </w:p>
    <w:p>
      <w:pPr>
        <w:sectPr>
          <w:pgSz w:w="11900" w:h="16838" w:orient="portrait"/>
          <w:cols w:equalWidth="0" w:num="2">
            <w:col w:w="3520" w:space="720"/>
            <w:col w:w="6960"/>
          </w:cols>
          <w:pgMar w:left="320" w:top="33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type w:val="continuous"/>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EMPLOYMENTAGREEMET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__________,</w:t>
      </w:r>
    </w:p>
    <w:p>
      <w:pPr>
        <w:spacing w:after="0" w:line="207" w:lineRule="exact"/>
        <w:rPr>
          <w:sz w:val="20"/>
          <w:szCs w:val="20"/>
          <w:color w:val="auto"/>
        </w:rPr>
      </w:pPr>
    </w:p>
    <w:p>
      <w:pPr>
        <w:ind w:left="40" w:right="1120" w:firstLine="749"/>
        <w:spacing w:after="0" w:line="282" w:lineRule="auto"/>
        <w:rPr>
          <w:sz w:val="20"/>
          <w:szCs w:val="20"/>
          <w:color w:val="auto"/>
        </w:rPr>
      </w:pPr>
      <w:r>
        <w:rPr>
          <w:rFonts w:ascii="Times New Roman" w:cs="Times New Roman" w:eastAsia="Times New Roman" w:hAnsi="Times New Roman"/>
          <w:sz w:val="18"/>
          <w:szCs w:val="18"/>
          <w:color w:val="auto"/>
        </w:rPr>
        <w:t>It is my pleasure to confirm our offer of employment to join Amplitude, Inc., working on our mission to help the world build better products.</w:t>
      </w:r>
    </w:p>
    <w:p>
      <w:pPr>
        <w:spacing w:after="0" w:line="1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entered into as of _______ is between Amplitude, Inc., a Delaware</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_________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0" w:right="7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assure itself of the continued services of Executive by engaging Executive to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as an employee of the Company under the terms hereof;</w:t>
      </w:r>
    </w:p>
    <w:p>
      <w:pPr>
        <w:spacing w:after="0" w:line="155" w:lineRule="exact"/>
        <w:rPr>
          <w:sz w:val="20"/>
          <w:szCs w:val="20"/>
          <w:color w:val="auto"/>
        </w:rPr>
      </w:pPr>
    </w:p>
    <w:p>
      <w:pPr>
        <w:ind w:left="40" w:right="108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execute this Agreement to supersede the Offer Letter in its entirety and reflect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to Executive’s employment with the Company effective as of the Effective Date; and</w:t>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desires to provide continued services to the Company on the terms herein provided.</w:t>
      </w:r>
    </w:p>
    <w:p>
      <w:pPr>
        <w:spacing w:after="0" w:line="239" w:lineRule="exact"/>
        <w:rPr>
          <w:sz w:val="20"/>
          <w:szCs w:val="20"/>
          <w:color w:val="auto"/>
        </w:rPr>
      </w:pPr>
    </w:p>
    <w:p>
      <w:pPr>
        <w:ind w:left="40" w:right="780"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for other good and valuable consideration,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covenants and agreements set forth below, the receipt and sufficiency of which are hereby acknowledged, the Parties hereto agree as follows:</w:t>
      </w:r>
    </w:p>
    <w:p>
      <w:pPr>
        <w:spacing w:after="0" w:line="171" w:lineRule="exact"/>
        <w:rPr>
          <w:sz w:val="20"/>
          <w:szCs w:val="20"/>
          <w:color w:val="auto"/>
        </w:rPr>
      </w:pPr>
    </w:p>
    <w:p>
      <w:pPr>
        <w:ind w:left="1540" w:hanging="750"/>
        <w:spacing w:after="0"/>
        <w:tabs>
          <w:tab w:leader="none" w:pos="1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w:t>
      </w:r>
    </w:p>
    <w:p>
      <w:pPr>
        <w:spacing w:after="0" w:line="242" w:lineRule="exact"/>
        <w:rPr>
          <w:rFonts w:ascii="Times New Roman" w:cs="Times New Roman" w:eastAsia="Times New Roman" w:hAnsi="Times New Roman"/>
          <w:sz w:val="18"/>
          <w:szCs w:val="18"/>
          <w:b w:val="1"/>
          <w:bCs w:val="1"/>
          <w:color w:val="auto"/>
        </w:rPr>
      </w:pPr>
    </w:p>
    <w:p>
      <w:pPr>
        <w:ind w:left="2240" w:hanging="701"/>
        <w:spacing w:after="0"/>
        <w:tabs>
          <w:tab w:leader="none" w:pos="224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shall employ Executive upon the terms and conditions provided herein effective</w:t>
      </w:r>
    </w:p>
    <w:p>
      <w:pPr>
        <w:spacing w:after="0" w:line="27" w:lineRule="exact"/>
        <w:rPr>
          <w:rFonts w:ascii="Times New Roman" w:cs="Times New Roman" w:eastAsia="Times New Roman" w:hAnsi="Times New Roman"/>
          <w:sz w:val="18"/>
          <w:szCs w:val="18"/>
          <w:b w:val="1"/>
          <w:bCs w:val="1"/>
          <w:color w:val="auto"/>
        </w:rPr>
      </w:pPr>
    </w:p>
    <w:p>
      <w:pPr>
        <w:ind w:left="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Effective Date.</w:t>
      </w:r>
    </w:p>
    <w:p>
      <w:pPr>
        <w:spacing w:after="0" w:line="206" w:lineRule="exact"/>
        <w:rPr>
          <w:rFonts w:ascii="Times New Roman" w:cs="Times New Roman" w:eastAsia="Times New Roman" w:hAnsi="Times New Roman"/>
          <w:sz w:val="18"/>
          <w:szCs w:val="18"/>
          <w:b w:val="1"/>
          <w:bCs w:val="1"/>
          <w:color w:val="auto"/>
        </w:rPr>
      </w:pPr>
    </w:p>
    <w:p>
      <w:pPr>
        <w:ind w:left="2240" w:hanging="701"/>
        <w:spacing w:after="0"/>
        <w:tabs>
          <w:tab w:leader="none" w:pos="224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Executive shall begin employment with Amplitude on _______________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Effective as of the Effective Date, Executive: (i) shall serve as the Company’s ________________, with</w:t>
      </w:r>
    </w:p>
    <w:p>
      <w:pPr>
        <w:spacing w:after="0" w:line="9" w:lineRule="exact"/>
        <w:rPr>
          <w:sz w:val="20"/>
          <w:szCs w:val="20"/>
          <w:color w:val="auto"/>
        </w:rPr>
      </w:pPr>
    </w:p>
    <w:p>
      <w:pPr>
        <w:ind w:left="40" w:right="820"/>
        <w:spacing w:after="0" w:line="269" w:lineRule="auto"/>
        <w:rPr>
          <w:sz w:val="20"/>
          <w:szCs w:val="20"/>
          <w:color w:val="auto"/>
        </w:rPr>
      </w:pPr>
      <w:r>
        <w:rPr>
          <w:rFonts w:ascii="Times New Roman" w:cs="Times New Roman" w:eastAsia="Times New Roman" w:hAnsi="Times New Roman"/>
          <w:sz w:val="17"/>
          <w:szCs w:val="17"/>
          <w:color w:val="auto"/>
        </w:rPr>
        <w:t>responsibilities, duties, and authority usual and customary for such position, subject to direction by the Chief Executive Officer of the Company (the “</w:t>
      </w:r>
      <w:r>
        <w:rPr>
          <w:rFonts w:ascii="Times New Roman" w:cs="Times New Roman" w:eastAsia="Times New Roman" w:hAnsi="Times New Roman"/>
          <w:sz w:val="17"/>
          <w:szCs w:val="17"/>
          <w:b w:val="1"/>
          <w:bCs w:val="1"/>
          <w:i w:val="1"/>
          <w:iCs w:val="1"/>
          <w:color w:val="auto"/>
        </w:rPr>
        <w:t>CEO</w:t>
      </w:r>
      <w:r>
        <w:rPr>
          <w:rFonts w:ascii="Times New Roman" w:cs="Times New Roman" w:eastAsia="Times New Roman" w:hAnsi="Times New Roman"/>
          <w:sz w:val="17"/>
          <w:szCs w:val="17"/>
          <w:color w:val="auto"/>
        </w:rPr>
        <w:t>”); (ii) shall report directly to the CEO or the CEO’s designee; and (iii) agrees promptly and faithfully to comply with all present and future policies, requirements, rules and regulations, and reasonable directions and requests, of the Company in connection with the Company’s business. At the Company’s request, Executive shall serve the Company and/or its subsidiaries and affiliates in such other capacities in addition to the foregoing as the Company shall designate, provided that such additional capacities are consistent with Executive’s position as the Company’s ___________. In the event that Executive serves in any one or more of such additional capacities, Executive’s compensation shall not automatically be increased on account of such additional service.</w:t>
      </w:r>
    </w:p>
    <w:p>
      <w:pPr>
        <w:spacing w:after="0" w:line="189" w:lineRule="exact"/>
        <w:rPr>
          <w:sz w:val="20"/>
          <w:szCs w:val="20"/>
          <w:color w:val="auto"/>
        </w:rPr>
      </w:pPr>
    </w:p>
    <w:p>
      <w:pPr>
        <w:ind w:left="40" w:right="800" w:firstLine="1499"/>
        <w:spacing w:after="0" w:line="261" w:lineRule="auto"/>
        <w:tabs>
          <w:tab w:leader="none" w:pos="2233"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xml:space="preserve">. Executive shall perform services for the Company at the Company’s offices located in San Francisco, California, or, with the Company’s consent, at any other place in connection with the fulfillment of Executive’s role with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may from time to time require Executive to travel temporarily to other locations in connection with Company’s business.</w:t>
      </w:r>
    </w:p>
    <w:p>
      <w:pPr>
        <w:spacing w:after="0" w:line="233" w:lineRule="exact"/>
        <w:rPr>
          <w:rFonts w:ascii="Times New Roman" w:cs="Times New Roman" w:eastAsia="Times New Roman" w:hAnsi="Times New Roman"/>
          <w:sz w:val="18"/>
          <w:szCs w:val="18"/>
          <w:b w:val="1"/>
          <w:bCs w:val="1"/>
          <w:color w:val="auto"/>
        </w:rPr>
      </w:pPr>
    </w:p>
    <w:p>
      <w:pPr>
        <w:ind w:left="40" w:right="820" w:firstLine="1499"/>
        <w:spacing w:after="0" w:line="253" w:lineRule="auto"/>
        <w:tabs>
          <w:tab w:leader="none" w:pos="2233"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Except with the prior written approval of the CEO (which the CEO may grant or withhold in his or her sole and absolute discretion), Executive shall devote Executive’s best efforts and full working time, attention, and energies to the business of the Company, except during any paid vacation or other excused absence periods. Notwithstanding the foregoing, Executive may, without violating this Section 1(d), (i) as a passive investment, own publicly traded securities in such form or manner as will not require any services by Executive in the operation of the entities in which such securities are owned; (ii) engage in charitable and civic activities; or (iii) engage in other personal passive investment activities, in each case, so long as such interests or activities do not materially interfere to the extent such activities do not, individually or in the aggregate, interfere with or otherwise prevent the performance of Executive’s duties and responsibilities hereunder. Executive may also serve as a member of the board of directors or board of advisors of another organization or organizations provided (i) such organization is not a competitor of the Company; (ii) Executive receives prior written approval from the CEO;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370840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7" w:right="339" w:bottom="1440" w:gutter="0" w:footer="0" w:header="0"/>
        </w:sectPr>
      </w:pPr>
    </w:p>
    <w:bookmarkStart w:id="103" w:name="page104"/>
    <w:bookmarkEnd w:id="103"/>
    <w:p>
      <w:pPr>
        <w:ind w:right="80" w:firstLine="1"/>
        <w:spacing w:after="0" w:line="312" w:lineRule="auto"/>
        <w:tabs>
          <w:tab w:leader="none" w:pos="31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activities do not individually or in the aggregate interfere with the performance of Executive’s duties under this Agreement, violate the Company’s standards of conduct then in effect, or raise a conflict under the Company’s conflict of interest policies.</w:t>
      </w:r>
    </w:p>
    <w:p>
      <w:pPr>
        <w:spacing w:after="0" w:line="149" w:lineRule="exact"/>
        <w:rPr>
          <w:rFonts w:ascii="Times New Roman" w:cs="Times New Roman" w:eastAsia="Times New Roman" w:hAnsi="Times New Roman"/>
          <w:sz w:val="17"/>
          <w:szCs w:val="17"/>
          <w:color w:val="auto"/>
        </w:rPr>
      </w:pPr>
    </w:p>
    <w:p>
      <w:pPr>
        <w:ind w:left="-20" w:right="20" w:firstLine="710"/>
        <w:spacing w:after="0" w:line="268" w:lineRule="auto"/>
        <w:tabs>
          <w:tab w:leader="none" w:pos="1515"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period of Executive’s employment under this Agreement shall commence on the Effective Date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continue until Executive’s employment with the Company is terminated pursuant to Section 5. The phrase “</w:t>
      </w:r>
      <w:r>
        <w:rPr>
          <w:rFonts w:ascii="Times New Roman" w:cs="Times New Roman" w:eastAsia="Times New Roman" w:hAnsi="Times New Roman"/>
          <w:sz w:val="18"/>
          <w:szCs w:val="18"/>
          <w:b w:val="1"/>
          <w:bCs w:val="1"/>
          <w:i w:val="1"/>
          <w:iCs w:val="1"/>
          <w:color w:val="auto"/>
        </w:rPr>
        <w:t>Term</w:t>
      </w:r>
      <w:r>
        <w:rPr>
          <w:rFonts w:ascii="Times New Roman" w:cs="Times New Roman" w:eastAsia="Times New Roman" w:hAnsi="Times New Roman"/>
          <w:sz w:val="18"/>
          <w:szCs w:val="18"/>
          <w:color w:val="auto"/>
        </w:rPr>
        <w:t>” as used in this Agreement shall refer to the entire period of employment of Executive by the Company.</w:t>
      </w:r>
    </w:p>
    <w:p>
      <w:pPr>
        <w:spacing w:after="0" w:line="170" w:lineRule="exact"/>
        <w:rPr>
          <w:rFonts w:ascii="Times New Roman" w:cs="Times New Roman" w:eastAsia="Times New Roman" w:hAnsi="Times New Roman"/>
          <w:sz w:val="18"/>
          <w:szCs w:val="18"/>
          <w:b w:val="1"/>
          <w:bCs w:val="1"/>
          <w:color w:val="auto"/>
        </w:rPr>
      </w:pPr>
    </w:p>
    <w:p>
      <w:pPr>
        <w:ind w:left="1500" w:hanging="750"/>
        <w:spacing w:after="0"/>
        <w:tabs>
          <w:tab w:leader="none" w:pos="1500" w:val="left"/>
        </w:tabs>
        <w:numPr>
          <w:ilvl w:val="2"/>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and Related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200" w:hanging="701"/>
        <w:spacing w:after="0"/>
        <w:tabs>
          <w:tab w:leader="none" w:pos="22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 During the Term, Executive shall receive a base salary at the rate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 (as may be increased from time to time, the (“</w:t>
      </w:r>
      <w:r>
        <w:rPr>
          <w:rFonts w:ascii="Times New Roman" w:cs="Times New Roman" w:eastAsia="Times New Roman" w:hAnsi="Times New Roman"/>
          <w:sz w:val="18"/>
          <w:szCs w:val="18"/>
          <w:b w:val="1"/>
          <w:bCs w:val="1"/>
          <w:i w:val="1"/>
          <w:iCs w:val="1"/>
          <w:color w:val="auto"/>
        </w:rPr>
        <w:t>Annual Base Salary</w:t>
      </w:r>
      <w:r>
        <w:rPr>
          <w:rFonts w:ascii="Times New Roman" w:cs="Times New Roman" w:eastAsia="Times New Roman" w:hAnsi="Times New Roman"/>
          <w:sz w:val="18"/>
          <w:szCs w:val="18"/>
          <w:color w:val="auto"/>
        </w:rPr>
        <w:t>”), which is subject to withholdings and deductions</w:t>
      </w:r>
    </w:p>
    <w:p>
      <w:pPr>
        <w:spacing w:after="0" w:line="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and pro-rated for any partial employment during the Term, which shall be paid to Executive in accordance with the customary payroll practices and procedures of the Company. Such Annual Base Salary shall be reviewed by the CEO, and, as applicable, the Board of Directors of the Company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and/or the Compensation Committee of the Board (the “</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not less than annually.</w:t>
      </w:r>
    </w:p>
    <w:p>
      <w:pPr>
        <w:spacing w:after="0" w:line="169" w:lineRule="exact"/>
        <w:rPr>
          <w:sz w:val="20"/>
          <w:szCs w:val="20"/>
          <w:color w:val="auto"/>
        </w:rPr>
      </w:pPr>
    </w:p>
    <w:p>
      <w:pPr>
        <w:ind w:left="2200" w:hanging="701"/>
        <w:spacing w:after="0"/>
        <w:tabs>
          <w:tab w:leader="none" w:pos="2200"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Executive may be eligible to receive an annual bonus with a target achievement of</w:t>
      </w:r>
    </w:p>
    <w:p>
      <w:pPr>
        <w:spacing w:after="0" w:line="27" w:lineRule="exact"/>
        <w:rPr>
          <w:rFonts w:ascii="Times New Roman" w:cs="Times New Roman" w:eastAsia="Times New Roman" w:hAnsi="Times New Roman"/>
          <w:sz w:val="18"/>
          <w:szCs w:val="18"/>
          <w:b w:val="1"/>
          <w:bCs w:val="1"/>
          <w:color w:val="auto"/>
        </w:rPr>
      </w:pPr>
    </w:p>
    <w:p>
      <w:pPr>
        <w:ind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 of Annual Base Salary (the “</w:t>
      </w:r>
      <w:r>
        <w:rPr>
          <w:rFonts w:ascii="Times New Roman" w:cs="Times New Roman" w:eastAsia="Times New Roman" w:hAnsi="Times New Roman"/>
          <w:sz w:val="18"/>
          <w:szCs w:val="18"/>
          <w:b w:val="1"/>
          <w:bCs w:val="1"/>
          <w:i w:val="1"/>
          <w:iCs w:val="1"/>
          <w:color w:val="auto"/>
        </w:rPr>
        <w:t>Annual Bonus</w:t>
      </w:r>
      <w:r>
        <w:rPr>
          <w:rFonts w:ascii="Times New Roman" w:cs="Times New Roman" w:eastAsia="Times New Roman" w:hAnsi="Times New Roman"/>
          <w:sz w:val="18"/>
          <w:szCs w:val="18"/>
          <w:color w:val="auto"/>
        </w:rPr>
        <w:t>”). The Annual Bonus plan for the year in which the Effective Date occurs and beyond will be based on the achievement of the criteria approved by the Board or applicable committee. Any Annual Bonus if earned under a program adopted by the Company shall be [pro-rated for the initial year in which the Effective Date occurs and] subject to Executive’s continued employment through the applicable date of payment.</w:t>
      </w:r>
    </w:p>
    <w:p>
      <w:pPr>
        <w:spacing w:after="0" w:line="188" w:lineRule="exact"/>
        <w:rPr>
          <w:rFonts w:ascii="Times New Roman" w:cs="Times New Roman" w:eastAsia="Times New Roman" w:hAnsi="Times New Roman"/>
          <w:sz w:val="18"/>
          <w:szCs w:val="18"/>
          <w:b w:val="1"/>
          <w:bCs w:val="1"/>
          <w:color w:val="auto"/>
        </w:rPr>
      </w:pPr>
    </w:p>
    <w:p>
      <w:pPr>
        <w:ind w:right="100" w:firstLine="1499"/>
        <w:spacing w:after="0" w:line="261" w:lineRule="auto"/>
        <w:tabs>
          <w:tab w:leader="none" w:pos="2193"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Executive shall be entitled to participate in such employee and executive benefit plans and programs as the Company may from time to time offer to provide to its executives, subject to the terms and conditions of such plans. Notwithstanding the foregoing, nothing herein is intended, or shall be construed, to require the Company to institute or continue any particular plan or benefit.</w:t>
      </w:r>
    </w:p>
    <w:p>
      <w:pPr>
        <w:spacing w:after="0" w:line="193" w:lineRule="exact"/>
        <w:rPr>
          <w:rFonts w:ascii="Times New Roman" w:cs="Times New Roman" w:eastAsia="Times New Roman" w:hAnsi="Times New Roman"/>
          <w:sz w:val="18"/>
          <w:szCs w:val="18"/>
          <w:b w:val="1"/>
          <w:bCs w:val="1"/>
          <w:color w:val="auto"/>
        </w:rPr>
      </w:pPr>
    </w:p>
    <w:p>
      <w:pPr>
        <w:ind w:right="220" w:firstLine="1499"/>
        <w:spacing w:after="0" w:line="266" w:lineRule="auto"/>
        <w:tabs>
          <w:tab w:leader="none" w:pos="2193"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The Company shall reimburse Executive for all reasonable, documented, out-of-pocket travel and other business expenses incurred by Executive in the performance of Executive’s duties to the Company in accordance with the Company’s applicable expense reimbursement policies and procedures as are in effect from time to time.</w:t>
      </w:r>
    </w:p>
    <w:p>
      <w:pPr>
        <w:spacing w:after="0" w:line="175" w:lineRule="exact"/>
        <w:rPr>
          <w:rFonts w:ascii="Times New Roman" w:cs="Times New Roman" w:eastAsia="Times New Roman" w:hAnsi="Times New Roman"/>
          <w:sz w:val="18"/>
          <w:szCs w:val="18"/>
          <w:b w:val="1"/>
          <w:bCs w:val="1"/>
          <w:color w:val="auto"/>
        </w:rPr>
      </w:pPr>
    </w:p>
    <w:p>
      <w:pPr>
        <w:ind w:left="2200" w:hanging="701"/>
        <w:spacing w:after="0"/>
        <w:tabs>
          <w:tab w:leader="none" w:pos="2200" w:val="left"/>
        </w:tabs>
        <w:numPr>
          <w:ilvl w:val="1"/>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Vacation</w:t>
      </w:r>
      <w:r>
        <w:rPr>
          <w:rFonts w:ascii="Times New Roman" w:cs="Times New Roman" w:eastAsia="Times New Roman" w:hAnsi="Times New Roman"/>
          <w:sz w:val="17"/>
          <w:szCs w:val="17"/>
          <w:color w:val="auto"/>
        </w:rPr>
        <w:t>. Executive will be entitled to paid vacation in accordance with the Company’s vacation policy,</w:t>
      </w:r>
    </w:p>
    <w:p>
      <w:pPr>
        <w:spacing w:after="0" w:line="3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in effect from time to time.</w:t>
      </w:r>
    </w:p>
    <w:p>
      <w:pPr>
        <w:spacing w:after="0" w:line="202" w:lineRule="exact"/>
        <w:rPr>
          <w:rFonts w:ascii="Times New Roman" w:cs="Times New Roman" w:eastAsia="Times New Roman" w:hAnsi="Times New Roman"/>
          <w:sz w:val="17"/>
          <w:szCs w:val="17"/>
          <w:b w:val="1"/>
          <w:bCs w:val="1"/>
          <w:color w:val="auto"/>
        </w:rPr>
      </w:pPr>
    </w:p>
    <w:p>
      <w:pPr>
        <w:ind w:left="-20" w:firstLine="710"/>
        <w:spacing w:after="0" w:line="259" w:lineRule="auto"/>
        <w:tabs>
          <w:tab w:leader="none" w:pos="1515"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Subject to the approval of the Company’s Board of Directors (or a committee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will be granted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and/or Stock Options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as detailed below. Any RSUs or Options granted to Executive will be subject to the approval of the Board or applicable committee and will be governed by the terms and conditions of the applicable grant agreement under the Company’s 2021 Incentive Award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details of the grant recommendation are as follows: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[Executive’s RSUs will have a target value of $__________ (“Target RSU Value”) and Executive’s Options will have a target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$_________ (“Target Option Value”), collectively (the “Total Target Value”). The number of RSUs granted to Executive will be</w:t>
      </w:r>
    </w:p>
    <w:p>
      <w:pPr>
        <w:spacing w:after="0" w:line="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approximately equal to the Total RSU Value divided by such average trading price of Amplitude’s Class A Common Stock (or such other value of Amplitude’s Class A Common Stock for determining the number of RSUs then-used by Amplitude) as reasonably determined by the Company, in its sole discretion. The number of Options granted to Executive will be approximately equal to the Target Option Value and calculated based on dividing Target Option Value by a black-scholes valuation of the Options as of a designated date and the strike price of the Options is set based on the value of Company stock at the close of market on the grant date.]OR[Executive shall receive _____ RSUs and an Option to purchase ______ shares of Class A Common Stock.] Subject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the Plan, (i) the RSUs will vest over ________ years, in _____________ installments following the Effective Date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will vest over __________, in _____________ installments following the Effective Date, with all RSU and Option</w:t>
      </w:r>
    </w:p>
    <w:p>
      <w:pPr>
        <w:spacing w:after="0" w:line="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vesting subject to Executive’s continued service with the Company through each such date, or as otherwise described in the Plan or the award agreement issued to Executive thereunder. Further details on the Plan and any specific RSU grant to Executive will be provided upon approval of such grant by the Company’s Board of Directors (or a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356870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120" w:top="175" w:right="1119" w:bottom="1440" w:gutter="0" w:footer="0" w:header="0"/>
        </w:sectPr>
      </w:pPr>
    </w:p>
    <w:bookmarkStart w:id="104" w:name="page105"/>
    <w:bookmarkEnd w:id="104"/>
    <w:p>
      <w:pPr>
        <w:ind w:left="1180" w:hanging="750"/>
        <w:spacing w:after="0"/>
        <w:tabs>
          <w:tab w:leader="none" w:pos="11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rFonts w:ascii="Times New Roman" w:cs="Times New Roman" w:eastAsia="Times New Roman" w:hAnsi="Times New Roman"/>
          <w:sz w:val="18"/>
          <w:szCs w:val="18"/>
          <w:b w:val="1"/>
          <w:bCs w:val="1"/>
          <w:color w:val="auto"/>
        </w:rPr>
      </w:pPr>
    </w:p>
    <w:p>
      <w:pPr>
        <w:ind w:left="-320" w:firstLine="1499"/>
        <w:spacing w:after="0" w:line="253" w:lineRule="auto"/>
        <w:tabs>
          <w:tab w:leader="none" w:pos="1873"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shall continue to be at-will, as defined under applicable law. This means that it is not for any specified period of time and, subject to any ramifications under Section 6 of this Agreement, can be terminated by Executive or by the Company at any time, with or without advance notice, and for any or no particular reason or cause. It also means that Executive’s job duties, title, and responsibility and reporting level, work schedule, compensation, and benefits, as well as the Company’s personnel policies and procedures, may be changed with prospective effect, with or without notice, at any time in the sole discretion of the Company (subject to any ramification such changes may have under Section 6 of this Agreement). This “at-will” nature of Executive’s employment shall remain unchanged during Executive’s tenure as an employee and may not be changed, except in an express writing signed by Executive and a duly-authorized officer of the Company. If Executive’s employment terminates for any lawful reason, Executive shall not be entitled to any payments, benefits, damages, award, or compensation other than as provided in this Agreement.</w:t>
      </w:r>
    </w:p>
    <w:p>
      <w:pPr>
        <w:spacing w:after="0" w:line="207" w:lineRule="exact"/>
        <w:rPr>
          <w:rFonts w:ascii="Times New Roman" w:cs="Times New Roman" w:eastAsia="Times New Roman" w:hAnsi="Times New Roman"/>
          <w:sz w:val="18"/>
          <w:szCs w:val="18"/>
          <w:b w:val="1"/>
          <w:bCs w:val="1"/>
          <w:color w:val="auto"/>
        </w:rPr>
      </w:pPr>
    </w:p>
    <w:p>
      <w:pPr>
        <w:ind w:left="-320" w:right="40" w:firstLine="1499"/>
        <w:spacing w:after="0" w:line="254" w:lineRule="auto"/>
        <w:tabs>
          <w:tab w:leader="none" w:pos="1873"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During the Term, any termination of Executive’s employment by the Company or by Executive (other than by reason of death) shall be communicated by written notice (a “</w:t>
      </w:r>
      <w:r>
        <w:rPr>
          <w:rFonts w:ascii="Times New Roman" w:cs="Times New Roman" w:eastAsia="Times New Roman" w:hAnsi="Times New Roman"/>
          <w:sz w:val="18"/>
          <w:szCs w:val="18"/>
          <w:b w:val="1"/>
          <w:bCs w:val="1"/>
          <w:i w:val="1"/>
          <w:iCs w:val="1"/>
          <w:color w:val="auto"/>
        </w:rPr>
        <w:t>Notice of Termination</w:t>
      </w:r>
      <w:r>
        <w:rPr>
          <w:rFonts w:ascii="Times New Roman" w:cs="Times New Roman" w:eastAsia="Times New Roman" w:hAnsi="Times New Roman"/>
          <w:sz w:val="18"/>
          <w:szCs w:val="18"/>
          <w:color w:val="auto"/>
        </w:rPr>
        <w:t>”) from one Party hereto to the other Party hereto (i) indicating the specific termination provision in this Agreement relied upon, if any, (ii) setting forth in reasonable detail the facts and circumstances claimed to provide a basis for termination of Executive’s employment under the provision so indicated, and (iii) specifying the Date of Termination (as defined below). The failure by the Company to set forth in the Notice of Termination all of the facts and circumstances which contribute to a showing of Cause (as defined below) shall not waive any right of the Company hereunder or preclude the Company from asserting such fact or circumstance in enforcing its rights hereunder.</w:t>
      </w:r>
    </w:p>
    <w:p>
      <w:pPr>
        <w:spacing w:after="0" w:line="187" w:lineRule="exact"/>
        <w:rPr>
          <w:rFonts w:ascii="Times New Roman" w:cs="Times New Roman" w:eastAsia="Times New Roman" w:hAnsi="Times New Roman"/>
          <w:sz w:val="18"/>
          <w:szCs w:val="18"/>
          <w:b w:val="1"/>
          <w:bCs w:val="1"/>
          <w:color w:val="auto"/>
        </w:rPr>
      </w:pPr>
    </w:p>
    <w:p>
      <w:pPr>
        <w:ind w:left="-320" w:right="120" w:firstLine="1499"/>
        <w:spacing w:after="0" w:line="286" w:lineRule="auto"/>
        <w:tabs>
          <w:tab w:leader="none" w:pos="1873"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Date of Termination</w:t>
      </w:r>
      <w:r>
        <w:rPr>
          <w:rFonts w:ascii="Times New Roman" w:cs="Times New Roman" w:eastAsia="Times New Roman" w:hAnsi="Times New Roman"/>
          <w:sz w:val="18"/>
          <w:szCs w:val="18"/>
          <w:color w:val="auto"/>
        </w:rPr>
        <w:t>”) shall mean the date of the termination of Executive’s employment with the Company specified in a Notice of Termination.</w:t>
      </w:r>
    </w:p>
    <w:p>
      <w:pPr>
        <w:spacing w:after="0" w:line="158" w:lineRule="exact"/>
        <w:rPr>
          <w:rFonts w:ascii="Times New Roman" w:cs="Times New Roman" w:eastAsia="Times New Roman" w:hAnsi="Times New Roman"/>
          <w:sz w:val="18"/>
          <w:szCs w:val="18"/>
          <w:b w:val="1"/>
          <w:bCs w:val="1"/>
          <w:color w:val="auto"/>
        </w:rPr>
      </w:pPr>
    </w:p>
    <w:p>
      <w:pPr>
        <w:ind w:left="-320" w:right="80" w:firstLine="1499"/>
        <w:spacing w:after="0" w:line="266" w:lineRule="auto"/>
        <w:tabs>
          <w:tab w:leader="none" w:pos="1873"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Deemed Resignation</w:t>
      </w:r>
      <w:r>
        <w:rPr>
          <w:rFonts w:ascii="Times New Roman" w:cs="Times New Roman" w:eastAsia="Times New Roman" w:hAnsi="Times New Roman"/>
          <w:sz w:val="18"/>
          <w:szCs w:val="18"/>
          <w:color w:val="auto"/>
        </w:rPr>
        <w:t>. Upon termination of Executive’s employment for any reason, Executive shall be deemed to have resigned from all offices and board memberships, if any, then held with the Company or any of its affiliates, and, at the Company’s request, Executive shall execute such documents as are necessary or desirable to effectuate such resignations.</w:t>
      </w:r>
    </w:p>
    <w:p>
      <w:pPr>
        <w:spacing w:after="0" w:line="175" w:lineRule="exact"/>
        <w:rPr>
          <w:rFonts w:ascii="Times New Roman" w:cs="Times New Roman" w:eastAsia="Times New Roman" w:hAnsi="Times New Roman"/>
          <w:sz w:val="18"/>
          <w:szCs w:val="18"/>
          <w:b w:val="1"/>
          <w:bCs w:val="1"/>
          <w:color w:val="auto"/>
        </w:rPr>
      </w:pPr>
    </w:p>
    <w:p>
      <w:pPr>
        <w:ind w:left="1880" w:hanging="701"/>
        <w:spacing w:after="0"/>
        <w:tabs>
          <w:tab w:leader="none" w:pos="1880"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Executive’s Obligations upon Termination</w:t>
      </w:r>
      <w:r>
        <w:rPr>
          <w:rFonts w:ascii="Times New Roman" w:cs="Times New Roman" w:eastAsia="Times New Roman" w:hAnsi="Times New Roman"/>
          <w:sz w:val="18"/>
          <w:szCs w:val="18"/>
          <w:color w:val="auto"/>
        </w:rPr>
        <w:t>.</w:t>
      </w:r>
    </w:p>
    <w:p>
      <w:pPr>
        <w:spacing w:after="0" w:line="236" w:lineRule="exact"/>
        <w:rPr>
          <w:rFonts w:ascii="Times New Roman" w:cs="Times New Roman" w:eastAsia="Times New Roman" w:hAnsi="Times New Roman"/>
          <w:sz w:val="18"/>
          <w:szCs w:val="18"/>
          <w:b w:val="1"/>
          <w:bCs w:val="1"/>
          <w:color w:val="auto"/>
        </w:rPr>
      </w:pPr>
    </w:p>
    <w:p>
      <w:pPr>
        <w:ind w:left="440" w:right="20" w:firstLine="1488"/>
        <w:spacing w:after="0" w:line="257" w:lineRule="auto"/>
        <w:tabs>
          <w:tab w:leader="none" w:pos="2628" w:val="left"/>
        </w:tabs>
        <w:numPr>
          <w:ilvl w:val="2"/>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Executive shall provide Executive’s reasonable cooperation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or proceeding (or any appeal from any action or proceeding) which relates to events occurring during Executive’s employment hereunder; provided the Company shall indemnify and hold harmless Executive with respect to any such cooperation and reimburse Executive for Executive’s reasonable costs and expenses (including legal counsel selected by Executive and reasonably acceptable to the Company) and such cooperation shall not unreasonably burden Executive or unreasonably interfere with any subsequent employment that Executive may undertake.</w:t>
      </w:r>
    </w:p>
    <w:p>
      <w:pPr>
        <w:spacing w:after="0" w:line="182" w:lineRule="exact"/>
        <w:rPr>
          <w:rFonts w:ascii="Times New Roman" w:cs="Times New Roman" w:eastAsia="Times New Roman" w:hAnsi="Times New Roman"/>
          <w:sz w:val="18"/>
          <w:szCs w:val="18"/>
          <w:b w:val="1"/>
          <w:bCs w:val="1"/>
          <w:color w:val="auto"/>
        </w:rPr>
      </w:pPr>
    </w:p>
    <w:p>
      <w:pPr>
        <w:ind w:left="440" w:right="120" w:firstLine="1488"/>
        <w:spacing w:after="0" w:line="253" w:lineRule="auto"/>
        <w:tabs>
          <w:tab w:leader="none" w:pos="2628" w:val="left"/>
        </w:tabs>
        <w:numPr>
          <w:ilvl w:val="2"/>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Return of Company Property</w:t>
      </w:r>
      <w:r>
        <w:rPr>
          <w:rFonts w:ascii="Times New Roman" w:cs="Times New Roman" w:eastAsia="Times New Roman" w:hAnsi="Times New Roman"/>
          <w:sz w:val="18"/>
          <w:szCs w:val="18"/>
          <w:color w:val="auto"/>
        </w:rPr>
        <w:t>. Executive hereby acknowledges and agrees that all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(as defined below) and equipment furnished to, or prepared by, Executive in the course of, or incident to, Executive’s employment, belongs to the Company and shall be promptly returned to the Company upon termination of Executive’s employment (and will not be kept in Executive’s possession or delivered to anyone else). For purposes of this Agreement, “</w:t>
      </w:r>
      <w:r>
        <w:rPr>
          <w:rFonts w:ascii="Times New Roman" w:cs="Times New Roman" w:eastAsia="Times New Roman" w:hAnsi="Times New Roman"/>
          <w:sz w:val="18"/>
          <w:szCs w:val="18"/>
          <w:b w:val="1"/>
          <w:bCs w:val="1"/>
          <w:i w:val="1"/>
          <w:iCs w:val="1"/>
          <w:color w:val="auto"/>
        </w:rPr>
        <w:t>Company Property</w:t>
      </w:r>
      <w:r>
        <w:rPr>
          <w:rFonts w:ascii="Times New Roman" w:cs="Times New Roman" w:eastAsia="Times New Roman" w:hAnsi="Times New Roman"/>
          <w:sz w:val="18"/>
          <w:szCs w:val="18"/>
          <w:color w:val="auto"/>
        </w:rPr>
        <w:t>” includes, without limitation, all books, manuals, records, reports, notes, contracts, lists, blueprints, and other documents, or materials, or copies thereof (including computer files), keys, building card keys, company credit cards, telephone calling cards, computer hardware and software, laptop computers, docking stations, cellular and portable telephone equipment, personal digital assistant (PDA) devices and all other proprietary information relating to the business of the Company or its subsidiaries or affiliates. Following termination, Executive shall not retain any written or other tangible material containing any proprietary information of the Company or its subsidiaries or affiliates.</w:t>
      </w:r>
    </w:p>
    <w:p>
      <w:pPr>
        <w:spacing w:after="0" w:line="203" w:lineRule="exact"/>
        <w:rPr>
          <w:rFonts w:ascii="Times New Roman" w:cs="Times New Roman" w:eastAsia="Times New Roman" w:hAnsi="Times New Roman"/>
          <w:sz w:val="18"/>
          <w:szCs w:val="18"/>
          <w:b w:val="1"/>
          <w:bCs w:val="1"/>
          <w:color w:val="auto"/>
        </w:rPr>
      </w:pPr>
    </w:p>
    <w:p>
      <w:pPr>
        <w:ind w:left="1180" w:hanging="750"/>
        <w:spacing w:after="0"/>
        <w:tabs>
          <w:tab w:leader="none" w:pos="11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Consequences of Termination</w:t>
      </w:r>
      <w:r>
        <w:rPr>
          <w:rFonts w:ascii="Times New Roman" w:cs="Times New Roman" w:eastAsia="Times New Roman" w:hAnsi="Times New Roman"/>
          <w:sz w:val="18"/>
          <w:szCs w:val="18"/>
          <w:color w:val="auto"/>
        </w:rPr>
        <w:t>.</w:t>
      </w:r>
    </w:p>
    <w:p>
      <w:pPr>
        <w:spacing w:after="0" w:line="283" w:lineRule="exact"/>
        <w:rPr>
          <w:rFonts w:ascii="Times New Roman" w:cs="Times New Roman" w:eastAsia="Times New Roman" w:hAnsi="Times New Roman"/>
          <w:sz w:val="18"/>
          <w:szCs w:val="18"/>
          <w:b w:val="1"/>
          <w:bCs w:val="1"/>
          <w:color w:val="auto"/>
        </w:rPr>
      </w:pPr>
    </w:p>
    <w:p>
      <w:pPr>
        <w:ind w:left="1880" w:hanging="701"/>
        <w:spacing w:after="0"/>
        <w:tabs>
          <w:tab w:leader="none" w:pos="1880" w:val="left"/>
        </w:tabs>
        <w:numPr>
          <w:ilvl w:val="1"/>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Payments of Accrued Obligations upon all Terminations of Employment</w:t>
      </w:r>
      <w:r>
        <w:rPr>
          <w:rFonts w:ascii="Times New Roman" w:cs="Times New Roman" w:eastAsia="Times New Roman" w:hAnsi="Times New Roman"/>
          <w:sz w:val="18"/>
          <w:szCs w:val="18"/>
          <w:color w:val="auto"/>
        </w:rPr>
        <w:t>. Upon a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459105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20"/>
          </w:cols>
          <w:pgMar w:left="1440" w:top="347" w:right="1139" w:bottom="1440" w:gutter="0" w:footer="0" w:header="0"/>
        </w:sectPr>
      </w:pPr>
    </w:p>
    <w:bookmarkStart w:id="105" w:name="page106"/>
    <w:bookmarkEnd w:id="105"/>
    <w:p>
      <w:pPr>
        <w:ind w:right="120"/>
        <w:spacing w:after="0" w:line="254" w:lineRule="auto"/>
        <w:rPr>
          <w:sz w:val="20"/>
          <w:szCs w:val="20"/>
          <w:color w:val="auto"/>
        </w:rPr>
      </w:pPr>
      <w:r>
        <w:rPr>
          <w:rFonts w:ascii="Times New Roman" w:cs="Times New Roman" w:eastAsia="Times New Roman" w:hAnsi="Times New Roman"/>
          <w:sz w:val="18"/>
          <w:szCs w:val="18"/>
          <w:color w:val="auto"/>
        </w:rPr>
        <w:t>of Executive’s employment for any reason, Executive (or Executive’s estate or legal representative, as applicable) shall be entitled to receive, within 30 days after Executive’s Date of Termination (or such earlier date as may be required by applicable law): (i) any portion of Executive’s Annual Base Salary earned through Executive’s Date of Termination not theretofore paid, (ii) any expenses owed to Executive under Section 3, (iii) any accrued but unused paid time- off owed to Executive, (iv) any Annual Bonus earned but unpaid as of the Date of Termination, and (v) any amount arising from Executive’s participation in, or benefits under, any employee benefit plans, programs, or arrangements under Section 3, which amounts shall be payable in accordance with the terms and conditions of such employee benefit plans, programs, or arrangements. Except as otherwise set forth in Sections 6(b) and (c), the payments and benefits described in this Section 6(a) shall be the only payments and benefits payable in the event of Executive’s termination of employment for any reason.</w:t>
      </w:r>
    </w:p>
    <w:p>
      <w:pPr>
        <w:spacing w:after="0" w:line="80" w:lineRule="exact"/>
        <w:rPr>
          <w:sz w:val="20"/>
          <w:szCs w:val="20"/>
          <w:color w:val="auto"/>
        </w:rPr>
      </w:pPr>
    </w:p>
    <w:p>
      <w:pPr>
        <w:ind w:right="40" w:firstLine="1499"/>
        <w:spacing w:after="0" w:line="256" w:lineRule="auto"/>
        <w:tabs>
          <w:tab w:leader="none" w:pos="2193"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Severance Payments upon Covered Termination Outside a Change in Control Period</w:t>
      </w:r>
      <w:r>
        <w:rPr>
          <w:rFonts w:ascii="Times New Roman" w:cs="Times New Roman" w:eastAsia="Times New Roman" w:hAnsi="Times New Roman"/>
          <w:sz w:val="18"/>
          <w:szCs w:val="18"/>
          <w:color w:val="auto"/>
        </w:rPr>
        <w:t xml:space="preserve">. If, during the Term, Executive experiences a Covered Termination outside a Change in Control Period (each, as defined below), then in addition to the payments and benefits described in Section 6(a), the Company shall, subject to Executive’s delivery to the Company of a waiver and release of claims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but updated to the extent deemed by the Company to be necessary to reflect any such changes to applicable law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that becomes effective and irrevocable in accordance with Section 11(d) and Executive’s continued compliance with Section 8(a) below, provide Executive with the following:</w:t>
      </w:r>
    </w:p>
    <w:p>
      <w:pPr>
        <w:spacing w:after="0" w:line="187" w:lineRule="exact"/>
        <w:rPr>
          <w:rFonts w:ascii="Times New Roman" w:cs="Times New Roman" w:eastAsia="Times New Roman" w:hAnsi="Times New Roman"/>
          <w:sz w:val="18"/>
          <w:szCs w:val="18"/>
          <w:b w:val="1"/>
          <w:bCs w:val="1"/>
          <w:color w:val="auto"/>
        </w:rPr>
      </w:pPr>
    </w:p>
    <w:p>
      <w:pPr>
        <w:ind w:left="760" w:right="180" w:firstLine="1488"/>
        <w:spacing w:after="0" w:line="261" w:lineRule="auto"/>
        <w:tabs>
          <w:tab w:leader="none" w:pos="2948"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to Executive an amount equal to six months of Executive’s Annual Base Salary and any pro-rated bonus Executive may have earned through Executive’s termination. Such amount will be subject to applicable withholdings and payable in a single lump sum cash payment on the first regular payroll date following the date the Release becomes effective and irrevocable in accordance with Section 11(d).</w:t>
      </w:r>
    </w:p>
    <w:p>
      <w:pPr>
        <w:spacing w:after="0" w:line="193" w:lineRule="exact"/>
        <w:rPr>
          <w:rFonts w:ascii="Times New Roman" w:cs="Times New Roman" w:eastAsia="Times New Roman" w:hAnsi="Times New Roman"/>
          <w:sz w:val="18"/>
          <w:szCs w:val="18"/>
          <w:b w:val="1"/>
          <w:bCs w:val="1"/>
          <w:color w:val="auto"/>
        </w:rPr>
      </w:pPr>
    </w:p>
    <w:p>
      <w:pPr>
        <w:ind w:left="760" w:firstLine="1488"/>
        <w:spacing w:after="0" w:line="252" w:lineRule="auto"/>
        <w:tabs>
          <w:tab w:leader="none" w:pos="2948"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 commencing on the Date of Termination and ending on the six month anniversary thereof or, if earlier, the date on which Executive becomes eligible for comparable replacement coverage under a subsequent employer’s group health plan (in any case, the “</w:t>
      </w:r>
      <w:r>
        <w:rPr>
          <w:rFonts w:ascii="Times New Roman" w:cs="Times New Roman" w:eastAsia="Times New Roman" w:hAnsi="Times New Roman"/>
          <w:sz w:val="18"/>
          <w:szCs w:val="18"/>
          <w:b w:val="1"/>
          <w:bCs w:val="1"/>
          <w:i w:val="1"/>
          <w:iCs w:val="1"/>
          <w:color w:val="auto"/>
        </w:rPr>
        <w:t>Non-CIC COBRA Period</w:t>
      </w:r>
      <w:r>
        <w:rPr>
          <w:rFonts w:ascii="Times New Roman" w:cs="Times New Roman" w:eastAsia="Times New Roman" w:hAnsi="Times New Roman"/>
          <w:sz w:val="18"/>
          <w:szCs w:val="18"/>
          <w:color w:val="auto"/>
        </w:rPr>
        <w:t>”), subject to Executive’s valid election to continue healthcare coverage under Section 4980B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and the regulations thereunder, the Company shall, in its sole discretion, either (A) continue to provide to Executive and Executive’s dependents, or (B) reimburse Executive and Executive’s dependents for coverage under its group health plan (if any), in each case, at the same levels and costs in effect on the Date of Termination (excluding, for purposes of calculating cost, an employee’s ability to pay premiums with pre-tax dollars);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(1) 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 (3) 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Non-CIC COBRA Period (or remaining portion thereof).</w:t>
      </w:r>
    </w:p>
    <w:p>
      <w:pPr>
        <w:spacing w:after="0" w:line="195" w:lineRule="exact"/>
        <w:rPr>
          <w:rFonts w:ascii="Times New Roman" w:cs="Times New Roman" w:eastAsia="Times New Roman" w:hAnsi="Times New Roman"/>
          <w:sz w:val="18"/>
          <w:szCs w:val="18"/>
          <w:b w:val="1"/>
          <w:bCs w:val="1"/>
          <w:color w:val="auto"/>
        </w:rPr>
      </w:pPr>
    </w:p>
    <w:p>
      <w:pPr>
        <w:ind w:firstLine="1499"/>
        <w:spacing w:after="0" w:line="258" w:lineRule="auto"/>
        <w:tabs>
          <w:tab w:leader="none" w:pos="2193"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Severance Payments upon Covered Termination During a Change in Control Period</w:t>
      </w:r>
      <w:r>
        <w:rPr>
          <w:rFonts w:ascii="Times New Roman" w:cs="Times New Roman" w:eastAsia="Times New Roman" w:hAnsi="Times New Roman"/>
          <w:sz w:val="18"/>
          <w:szCs w:val="18"/>
          <w:color w:val="auto"/>
        </w:rPr>
        <w:t>. If, during the Term, Executive experiences a Covered Termination during a Change in Control Period, then, in addition to the payments and benefits described in Section 6(a), the Company shall, subject to Executive’s delivery to the Company of the Release that becomes effective and irrevocable in accordance with Section 11(d) and Executive’s continued compliance with Section 8(a) below, provide Executive with the following (in lieu of the benefits and payments described in Section 6(b) above):</w:t>
      </w:r>
    </w:p>
    <w:p>
      <w:pPr>
        <w:spacing w:after="0" w:line="183" w:lineRule="exact"/>
        <w:rPr>
          <w:rFonts w:ascii="Times New Roman" w:cs="Times New Roman" w:eastAsia="Times New Roman" w:hAnsi="Times New Roman"/>
          <w:sz w:val="18"/>
          <w:szCs w:val="18"/>
          <w:b w:val="1"/>
          <w:bCs w:val="1"/>
          <w:color w:val="auto"/>
        </w:rPr>
      </w:pPr>
    </w:p>
    <w:p>
      <w:pPr>
        <w:jc w:val="both"/>
        <w:ind w:left="760" w:right="160" w:firstLine="1488"/>
        <w:spacing w:after="0" w:line="261" w:lineRule="auto"/>
        <w:tabs>
          <w:tab w:leader="none" w:pos="2948"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pay to Executive an amount equal to 12 months of Executive’s Annual Base Salary and, to the extent the Company maintains an Annual Bonus Program, Executive’s target Annual Bonus. Such amount will be subject to applicable withholdings and payable in a single lump sum cash payment on the first regular payroll date following the date the Release becomes effective and irrevocable in accordance with Section 11(d).</w:t>
      </w:r>
    </w:p>
    <w:p>
      <w:pPr>
        <w:spacing w:after="0" w:line="193" w:lineRule="exact"/>
        <w:rPr>
          <w:rFonts w:ascii="Times New Roman" w:cs="Times New Roman" w:eastAsia="Times New Roman" w:hAnsi="Times New Roman"/>
          <w:sz w:val="18"/>
          <w:szCs w:val="18"/>
          <w:b w:val="1"/>
          <w:bCs w:val="1"/>
          <w:color w:val="auto"/>
        </w:rPr>
      </w:pPr>
    </w:p>
    <w:p>
      <w:pPr>
        <w:ind w:left="760" w:firstLine="1488"/>
        <w:spacing w:after="0" w:line="258" w:lineRule="auto"/>
        <w:tabs>
          <w:tab w:leader="none" w:pos="2948"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 commencing on the Date of Termination and ending on the 12 month anniversary thereof or, if earlier, the date on which Executive becomes eligible for comparable replacement coverage under a subsequent employer’s group health plan (in any case, the “</w:t>
      </w:r>
      <w:r>
        <w:rPr>
          <w:rFonts w:ascii="Times New Roman" w:cs="Times New Roman" w:eastAsia="Times New Roman" w:hAnsi="Times New Roman"/>
          <w:sz w:val="18"/>
          <w:szCs w:val="18"/>
          <w:b w:val="1"/>
          <w:bCs w:val="1"/>
          <w:i w:val="1"/>
          <w:iCs w:val="1"/>
          <w:color w:val="auto"/>
        </w:rPr>
        <w:t>CIC COBRA Period</w:t>
      </w:r>
      <w:r>
        <w:rPr>
          <w:rFonts w:ascii="Times New Roman" w:cs="Times New Roman" w:eastAsia="Times New Roman" w:hAnsi="Times New Roman"/>
          <w:sz w:val="18"/>
          <w:szCs w:val="18"/>
          <w:color w:val="auto"/>
        </w:rPr>
        <w:t>”), subject to Executive’s valid election to continue healthcare coverage under Section 4980B of the Code and the regulations thereunder, the Company shall, in its sole discretion, either (A)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355600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80"/>
          </w:cols>
          <w:pgMar w:left="1120" w:top="175" w:right="1099" w:bottom="1440" w:gutter="0" w:footer="0" w:header="0"/>
        </w:sectPr>
      </w:pPr>
    </w:p>
    <w:bookmarkStart w:id="106" w:name="page107"/>
    <w:bookmarkEnd w:id="106"/>
    <w:p>
      <w:pPr>
        <w:jc w:val="both"/>
        <w:ind w:left="440" w:right="700"/>
        <w:spacing w:after="0" w:line="257" w:lineRule="auto"/>
        <w:rPr>
          <w:sz w:val="20"/>
          <w:szCs w:val="20"/>
          <w:color w:val="auto"/>
        </w:rPr>
      </w:pPr>
      <w:r>
        <w:rPr>
          <w:rFonts w:ascii="Times New Roman" w:cs="Times New Roman" w:eastAsia="Times New Roman" w:hAnsi="Times New Roman"/>
          <w:sz w:val="18"/>
          <w:szCs w:val="18"/>
          <w:color w:val="auto"/>
        </w:rPr>
        <w:t xml:space="preserve">provide to Executive and Executive’s dependents, at the Company’s sole expense, or (B) reimburse Executive and Executive’s dependents for coverage under its group health plan (if any) at the same levels in effect on the Date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w:t>
      </w:r>
    </w:p>
    <w:p>
      <w:pPr>
        <w:spacing w:after="0" w:line="1" w:lineRule="exact"/>
        <w:rPr>
          <w:sz w:val="20"/>
          <w:szCs w:val="20"/>
          <w:color w:val="auto"/>
        </w:rPr>
      </w:pPr>
    </w:p>
    <w:p>
      <w:pPr>
        <w:ind w:left="420" w:right="40" w:firstLine="6"/>
        <w:spacing w:after="0" w:line="265" w:lineRule="auto"/>
        <w:tabs>
          <w:tab w:leader="none" w:pos="67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plan pursuant to which such benefits are provided is not, or ceases prior to the expiration of the continuation coverage period to be, exempt from the application of Section 409A under Treasury Regulation Section 1.409A-1(a)(5), (2) the Company is otherwise unable to continue to cover Executive or Executive’s dependents under its group health plans, or</w:t>
      </w:r>
    </w:p>
    <w:p>
      <w:pPr>
        <w:jc w:val="both"/>
        <w:ind w:left="420" w:firstLine="6"/>
        <w:spacing w:after="0" w:line="253" w:lineRule="auto"/>
        <w:tabs>
          <w:tab w:leader="none" w:pos="67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cannot provide the benefit without violating applicable law (including, without limitation, Section 2716 of the Public Health Service Act), then, in any such case, an amount equal to each remaining Company subsidy shall thereafter be paid to Executive in substantially equal monthly installments over the CIC COBRA Period (or remaining portion thereof).</w:t>
      </w:r>
    </w:p>
    <w:p>
      <w:pPr>
        <w:spacing w:after="0" w:line="256" w:lineRule="exact"/>
        <w:rPr>
          <w:rFonts w:ascii="Times New Roman" w:cs="Times New Roman" w:eastAsia="Times New Roman" w:hAnsi="Times New Roman"/>
          <w:sz w:val="18"/>
          <w:szCs w:val="18"/>
          <w:color w:val="auto"/>
        </w:rPr>
      </w:pPr>
    </w:p>
    <w:p>
      <w:pPr>
        <w:ind w:left="440" w:firstLine="1488"/>
        <w:spacing w:after="0" w:line="267" w:lineRule="auto"/>
        <w:tabs>
          <w:tab w:leader="none" w:pos="2628" w:val="left"/>
        </w:tabs>
        <w:numPr>
          <w:ilvl w:val="2"/>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Cause the vesting and, if applicable, exercisability of Executive’s then-outstanding and unvested equity awards, including, without limitation, any stock options and other equity awards, shall accelerate (and, if applicable, all restrictions and rights of repurchase on such awards shall lapse) as of immediately prior to the later of (i) the Date of Termination or (ii) the closing of such Change in Control, in respect of one hundred percent (100%) of the number of shares of Company common stock subject thereto (excluding any such awards that vest in whole or in part based on the attainment of performance-vesting conditions, which shall be governed by the terms of the applicable award agreement). To give effect to the foregoing, upon the Date of Termination that occurs prior to the closing of a Change in Control, (x) the vested portion of such equity awards shall be remain outstanding and/or be exercisable for the period(s) of time set forth in the applicable equity award agreements, (y) Executive’s outstanding equity awards shall cease vesting, and (z) the unvested shares subject to Executive’s outstanding equity awards shall remain outstanding (but unvested) until the earlier to occur of</w:t>
      </w:r>
    </w:p>
    <w:p>
      <w:pPr>
        <w:spacing w:after="0" w:line="3" w:lineRule="exact"/>
        <w:rPr>
          <w:rFonts w:ascii="Times New Roman" w:cs="Times New Roman" w:eastAsia="Times New Roman" w:hAnsi="Times New Roman"/>
          <w:sz w:val="17"/>
          <w:szCs w:val="17"/>
          <w:b w:val="1"/>
          <w:bCs w:val="1"/>
          <w:color w:val="auto"/>
        </w:rPr>
      </w:pPr>
    </w:p>
    <w:p>
      <w:pPr>
        <w:ind w:left="720" w:hanging="290"/>
        <w:spacing w:after="0"/>
        <w:tabs>
          <w:tab w:leader="none" w:pos="7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expiration date of the equity award and (B) three (3) month anniversary of the Date of Termination (the</w:t>
      </w:r>
    </w:p>
    <w:p>
      <w:pPr>
        <w:spacing w:after="0" w:line="9" w:lineRule="exact"/>
        <w:rPr>
          <w:sz w:val="20"/>
          <w:szCs w:val="20"/>
          <w:color w:val="auto"/>
        </w:rPr>
      </w:pPr>
    </w:p>
    <w:p>
      <w:pPr>
        <w:jc w:val="both"/>
        <w:ind w:left="440" w:right="1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Equity Award Period</w:t>
      </w:r>
      <w:r>
        <w:rPr>
          <w:rFonts w:ascii="Times New Roman" w:cs="Times New Roman" w:eastAsia="Times New Roman" w:hAnsi="Times New Roman"/>
          <w:sz w:val="17"/>
          <w:szCs w:val="17"/>
          <w:color w:val="auto"/>
        </w:rPr>
        <w:t>”). In the event a Change in Control has not been consummated by end of the Equity Award Period, then the unvested portion of Executive’s equity awards shall terminate immediately without further action as of such date.</w:t>
      </w:r>
    </w:p>
    <w:p>
      <w:pPr>
        <w:spacing w:after="0" w:line="157" w:lineRule="exact"/>
        <w:rPr>
          <w:sz w:val="20"/>
          <w:szCs w:val="20"/>
          <w:color w:val="auto"/>
        </w:rPr>
      </w:pPr>
    </w:p>
    <w:p>
      <w:pPr>
        <w:ind w:left="-320" w:right="20" w:firstLine="1499"/>
        <w:spacing w:after="0" w:line="266" w:lineRule="auto"/>
        <w:tabs>
          <w:tab w:leader="none" w:pos="1873"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Other Severance</w:t>
      </w:r>
      <w:r>
        <w:rPr>
          <w:rFonts w:ascii="Times New Roman" w:cs="Times New Roman" w:eastAsia="Times New Roman" w:hAnsi="Times New Roman"/>
          <w:sz w:val="18"/>
          <w:szCs w:val="18"/>
          <w:color w:val="auto"/>
        </w:rPr>
        <w:t>. Except as otherwise approved by the Board, the provisions of this Section 6 shall supersede in their entirety any severance payment provisions in any severance plan, policy, program, or other arrangement maintained by the Company.</w:t>
      </w:r>
    </w:p>
    <w:p>
      <w:pPr>
        <w:spacing w:after="0" w:line="175" w:lineRule="exact"/>
        <w:rPr>
          <w:rFonts w:ascii="Times New Roman" w:cs="Times New Roman" w:eastAsia="Times New Roman" w:hAnsi="Times New Roman"/>
          <w:sz w:val="18"/>
          <w:szCs w:val="18"/>
          <w:b w:val="1"/>
          <w:bCs w:val="1"/>
          <w:color w:val="auto"/>
        </w:rPr>
      </w:pPr>
    </w:p>
    <w:p>
      <w:pPr>
        <w:jc w:val="both"/>
        <w:ind w:left="-320" w:right="240" w:firstLine="1499"/>
        <w:spacing w:after="0" w:line="266" w:lineRule="auto"/>
        <w:tabs>
          <w:tab w:leader="none" w:pos="1873"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Requirement to Mitigate; Survival</w:t>
      </w:r>
      <w:r>
        <w:rPr>
          <w:rFonts w:ascii="Times New Roman" w:cs="Times New Roman" w:eastAsia="Times New Roman" w:hAnsi="Times New Roman"/>
          <w:sz w:val="18"/>
          <w:szCs w:val="18"/>
          <w:color w:val="auto"/>
        </w:rPr>
        <w:t>. Executive shall not be required to mitigate the amount of any payment provided for under this Agreement by seeking other employment or in any other manner. Notwithstanding anything to the contrary in this Agreement, the termination of Executive’s employment shall not impair the rights or obligations of any Party.</w:t>
      </w:r>
    </w:p>
    <w:p>
      <w:pPr>
        <w:spacing w:after="0" w:line="189" w:lineRule="exact"/>
        <w:rPr>
          <w:rFonts w:ascii="Times New Roman" w:cs="Times New Roman" w:eastAsia="Times New Roman" w:hAnsi="Times New Roman"/>
          <w:sz w:val="18"/>
          <w:szCs w:val="18"/>
          <w:b w:val="1"/>
          <w:bCs w:val="1"/>
          <w:color w:val="auto"/>
        </w:rPr>
      </w:pPr>
    </w:p>
    <w:p>
      <w:pPr>
        <w:ind w:left="-320" w:firstLine="1499"/>
        <w:spacing w:after="0" w:line="254" w:lineRule="auto"/>
        <w:tabs>
          <w:tab w:leader="none" w:pos="1873"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Certain Reductions</w:t>
      </w:r>
      <w:r>
        <w:rPr>
          <w:rFonts w:ascii="Times New Roman" w:cs="Times New Roman" w:eastAsia="Times New Roman" w:hAnsi="Times New Roman"/>
          <w:sz w:val="18"/>
          <w:szCs w:val="18"/>
          <w:color w:val="auto"/>
        </w:rPr>
        <w:t>.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(i) any applicable legal requirement, including, without limitation, the Worker Adjustment and Retraining Notification Act, or (ii) any Company policy or practice providing for Executive to remain on the payroll without being in active service for a limited period of time after being given notice of the termination of Executive’s employment. The benefits provided under this Agreement are intended to satisfy, to the greatest extent possible, any and all statutory obligations that may arise out of Executive’s termination of employment. Such reductions shall be applied on a retroactive basis, with severance benefits previously paid being recharacterized as payments pursuant to the Company’s statutory obligation.</w:t>
      </w:r>
    </w:p>
    <w:p>
      <w:pPr>
        <w:spacing w:after="0" w:line="184" w:lineRule="exact"/>
        <w:rPr>
          <w:rFonts w:ascii="Times New Roman" w:cs="Times New Roman" w:eastAsia="Times New Roman" w:hAnsi="Times New Roman"/>
          <w:sz w:val="18"/>
          <w:szCs w:val="18"/>
          <w:b w:val="1"/>
          <w:bCs w:val="1"/>
          <w:color w:val="auto"/>
        </w:rPr>
      </w:pPr>
    </w:p>
    <w:p>
      <w:pPr>
        <w:ind w:left="-320" w:right="20" w:firstLine="1499"/>
        <w:spacing w:after="0" w:line="254" w:lineRule="auto"/>
        <w:tabs>
          <w:tab w:leader="none" w:pos="1873"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Definition of Cause</w:t>
      </w:r>
      <w:r>
        <w:rPr>
          <w:rFonts w:ascii="Times New Roman" w:cs="Times New Roman" w:eastAsia="Times New Roman" w:hAnsi="Times New Roman"/>
          <w:sz w:val="18"/>
          <w:szCs w:val="18"/>
          <w:color w:val="auto"/>
        </w:rPr>
        <w:t>. For purposes hereof,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mean any one of the following: (i) Executive’s dishonest statements or acts with respect to the Company or any affiliate of the Company, or any current or prospective customers, suppliers vendors or other third parties with which such entity does business; (ii) Executive’s commission of (A) a felony or (B) any misdemeanor involving moral turpitude, deceit, dishonesty or fraud; (iii) Executive’s failure to perform his or her assigned duties and responsibilities to the reasonable satisfaction of the Company which failure continues, in the reasonable judgment of the Company, after written notice given to Executive by the Company; (iv) Executive’s gross negligence, willful misconduct or insubordination with respect to the Company or any affiliate of the Company; or (v) Executive’s material violation of any provision of any agreement(s) between Executive and the Company relating to noncompetition, nonsolicitation, nondisclosure and/or assignment of inventions. The determination that a termination of Executive’s employment is either for Cause or without Cause shall be made by the Board or the Committee, in each case,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367665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440" w:top="121" w:right="1099" w:bottom="1440" w:gutter="0" w:footer="0" w:header="0"/>
        </w:sectPr>
      </w:pPr>
    </w:p>
    <w:bookmarkStart w:id="107" w:name="page108"/>
    <w:bookmarkEnd w:id="107"/>
    <w:p>
      <w:pPr>
        <w:ind w:left="3" w:right="100" w:firstLine="1499"/>
        <w:spacing w:after="0" w:line="268" w:lineRule="auto"/>
        <w:tabs>
          <w:tab w:leader="none" w:pos="2195" w:val="left"/>
        </w:tabs>
        <w:numPr>
          <w:ilvl w:val="4"/>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Definition of Change in Control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have the meaning set forth in the Company’s 2021 Incentive Award Plan. Notwithstanding the foregoing, a “Change in Control” must also constitute a “change in control event,” as defined in Treasury Regulation §1.409A-3(i)(5).</w:t>
      </w:r>
    </w:p>
    <w:p>
      <w:pPr>
        <w:spacing w:after="0" w:line="170" w:lineRule="exact"/>
        <w:rPr>
          <w:rFonts w:ascii="Times New Roman" w:cs="Times New Roman" w:eastAsia="Times New Roman" w:hAnsi="Times New Roman"/>
          <w:sz w:val="18"/>
          <w:szCs w:val="18"/>
          <w:b w:val="1"/>
          <w:bCs w:val="1"/>
          <w:color w:val="auto"/>
        </w:rPr>
      </w:pPr>
    </w:p>
    <w:p>
      <w:pPr>
        <w:jc w:val="both"/>
        <w:ind w:left="3" w:right="40" w:firstLine="1499"/>
        <w:spacing w:after="0" w:line="286" w:lineRule="auto"/>
        <w:tabs>
          <w:tab w:leader="none" w:pos="2194" w:val="left"/>
        </w:tabs>
        <w:numPr>
          <w:ilvl w:val="4"/>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Definition of Change in Control Period</w:t>
      </w:r>
      <w:r>
        <w:rPr>
          <w:rFonts w:ascii="Times New Roman" w:cs="Times New Roman" w:eastAsia="Times New Roman" w:hAnsi="Times New Roman"/>
          <w:sz w:val="18"/>
          <w:szCs w:val="18"/>
          <w:color w:val="auto"/>
        </w:rPr>
        <w:t>. For purposes hereof, “</w:t>
      </w:r>
      <w:r>
        <w:rPr>
          <w:rFonts w:ascii="Times New Roman" w:cs="Times New Roman" w:eastAsia="Times New Roman" w:hAnsi="Times New Roman"/>
          <w:sz w:val="18"/>
          <w:szCs w:val="18"/>
          <w:b w:val="1"/>
          <w:bCs w:val="1"/>
          <w:i w:val="1"/>
          <w:iCs w:val="1"/>
          <w:color w:val="auto"/>
        </w:rPr>
        <w:t>Change in Control Period</w:t>
      </w:r>
      <w:r>
        <w:rPr>
          <w:rFonts w:ascii="Times New Roman" w:cs="Times New Roman" w:eastAsia="Times New Roman" w:hAnsi="Times New Roman"/>
          <w:sz w:val="18"/>
          <w:szCs w:val="18"/>
          <w:color w:val="auto"/>
        </w:rPr>
        <w:t>” shall mean the period commencing three months prior to the closing of a Change in Control and ending 12 months after such Change in Control.</w:t>
      </w:r>
    </w:p>
    <w:p>
      <w:pPr>
        <w:spacing w:after="0" w:line="154" w:lineRule="exact"/>
        <w:rPr>
          <w:rFonts w:ascii="Times New Roman" w:cs="Times New Roman" w:eastAsia="Times New Roman" w:hAnsi="Times New Roman"/>
          <w:sz w:val="18"/>
          <w:szCs w:val="18"/>
          <w:b w:val="1"/>
          <w:bCs w:val="1"/>
          <w:color w:val="auto"/>
        </w:rPr>
      </w:pPr>
    </w:p>
    <w:p>
      <w:pPr>
        <w:ind w:left="3" w:right="300" w:firstLine="1499"/>
        <w:spacing w:after="0" w:line="268" w:lineRule="auto"/>
        <w:tabs>
          <w:tab w:leader="none" w:pos="2195" w:val="left"/>
        </w:tabs>
        <w:numPr>
          <w:ilvl w:val="4"/>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Definition of Covered Termination</w:t>
      </w:r>
      <w:r>
        <w:rPr>
          <w:rFonts w:ascii="Times New Roman" w:cs="Times New Roman" w:eastAsia="Times New Roman" w:hAnsi="Times New Roman"/>
          <w:sz w:val="18"/>
          <w:szCs w:val="18"/>
          <w:color w:val="auto"/>
        </w:rPr>
        <w:t>. For purposes hereof, “</w:t>
      </w:r>
      <w:r>
        <w:rPr>
          <w:rFonts w:ascii="Times New Roman" w:cs="Times New Roman" w:eastAsia="Times New Roman" w:hAnsi="Times New Roman"/>
          <w:sz w:val="18"/>
          <w:szCs w:val="18"/>
          <w:b w:val="1"/>
          <w:bCs w:val="1"/>
          <w:i w:val="1"/>
          <w:iCs w:val="1"/>
          <w:color w:val="auto"/>
        </w:rPr>
        <w:t>Covered Termination</w:t>
      </w:r>
      <w:r>
        <w:rPr>
          <w:rFonts w:ascii="Times New Roman" w:cs="Times New Roman" w:eastAsia="Times New Roman" w:hAnsi="Times New Roman"/>
          <w:sz w:val="18"/>
          <w:szCs w:val="18"/>
          <w:color w:val="auto"/>
        </w:rPr>
        <w:t>” shall mean the termination of Executive’s employment by the Company without Cause or by Executive for Good Reason, and shall not include a termination due to Executive’s death or disability.</w:t>
      </w:r>
    </w:p>
    <w:p>
      <w:pPr>
        <w:spacing w:after="0" w:line="184" w:lineRule="exact"/>
        <w:rPr>
          <w:rFonts w:ascii="Times New Roman" w:cs="Times New Roman" w:eastAsia="Times New Roman" w:hAnsi="Times New Roman"/>
          <w:sz w:val="18"/>
          <w:szCs w:val="18"/>
          <w:b w:val="1"/>
          <w:bCs w:val="1"/>
          <w:color w:val="auto"/>
        </w:rPr>
      </w:pPr>
    </w:p>
    <w:p>
      <w:pPr>
        <w:jc w:val="both"/>
        <w:ind w:left="3" w:right="320" w:firstLine="1499"/>
        <w:spacing w:after="0" w:line="256" w:lineRule="auto"/>
        <w:tabs>
          <w:tab w:leader="none" w:pos="2195" w:val="left"/>
        </w:tabs>
        <w:numPr>
          <w:ilvl w:val="4"/>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Definition of Good Reason</w:t>
      </w:r>
      <w:r>
        <w:rPr>
          <w:rFonts w:ascii="Times New Roman" w:cs="Times New Roman" w:eastAsia="Times New Roman" w:hAnsi="Times New Roman"/>
          <w:sz w:val="18"/>
          <w:szCs w:val="18"/>
          <w:color w:val="auto"/>
        </w:rPr>
        <w:t>. For purposes hereof,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mean that Executive has complied in all material respects with the “Good Reason Process” (hereinafter defined) following the occurrence of any of the following events, without Executive’s prior written consent: (i) a reduction of Executive’s Annual Base Salary by more than 10% (except in connection with an across-the-board reduction in the salary of all similarly situated employees);</w:t>
      </w:r>
    </w:p>
    <w:p>
      <w:pPr>
        <w:spacing w:after="0" w:line="3" w:lineRule="exact"/>
        <w:rPr>
          <w:rFonts w:ascii="Times New Roman" w:cs="Times New Roman" w:eastAsia="Times New Roman" w:hAnsi="Times New Roman"/>
          <w:sz w:val="18"/>
          <w:szCs w:val="18"/>
          <w:b w:val="1"/>
          <w:bCs w:val="1"/>
          <w:color w:val="auto"/>
        </w:rPr>
      </w:pPr>
    </w:p>
    <w:p>
      <w:pPr>
        <w:ind w:left="3" w:right="280" w:hanging="3"/>
        <w:spacing w:after="0" w:line="255" w:lineRule="auto"/>
        <w:tabs>
          <w:tab w:leader="none" w:pos="26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material diminution of Executive’s authority, duties or responsibilities,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mere change of title alone shall not constitute such a material diminution; or (iii) relocation of Executive’s principal place of employment by more than 30 miles from Executive’s then-current principal place of employment.</w:t>
      </w:r>
    </w:p>
    <w:p>
      <w:pPr>
        <w:spacing w:after="0" w:line="181" w:lineRule="exact"/>
        <w:rPr>
          <w:rFonts w:ascii="Times New Roman" w:cs="Times New Roman" w:eastAsia="Times New Roman" w:hAnsi="Times New Roman"/>
          <w:sz w:val="18"/>
          <w:szCs w:val="18"/>
          <w:color w:val="auto"/>
        </w:rPr>
      </w:pPr>
    </w:p>
    <w:p>
      <w:pPr>
        <w:ind w:left="2203" w:hanging="701"/>
        <w:spacing w:after="0"/>
        <w:tabs>
          <w:tab w:leader="none" w:pos="2203" w:val="left"/>
        </w:tabs>
        <w:numPr>
          <w:ilvl w:val="4"/>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Definition of Good Reason Process</w:t>
      </w:r>
      <w:r>
        <w:rPr>
          <w:rFonts w:ascii="Times New Roman" w:cs="Times New Roman" w:eastAsia="Times New Roman" w:hAnsi="Times New Roman"/>
          <w:sz w:val="18"/>
          <w:szCs w:val="18"/>
          <w:color w:val="auto"/>
        </w:rPr>
        <w:t>. For the purposes hereof, “</w:t>
      </w:r>
      <w:r>
        <w:rPr>
          <w:rFonts w:ascii="Times New Roman" w:cs="Times New Roman" w:eastAsia="Times New Roman" w:hAnsi="Times New Roman"/>
          <w:sz w:val="18"/>
          <w:szCs w:val="18"/>
          <w:b w:val="1"/>
          <w:bCs w:val="1"/>
          <w:i w:val="1"/>
          <w:iCs w:val="1"/>
          <w:color w:val="auto"/>
        </w:rPr>
        <w:t>Good Reason Process</w:t>
      </w:r>
      <w:r>
        <w:rPr>
          <w:rFonts w:ascii="Times New Roman" w:cs="Times New Roman" w:eastAsia="Times New Roman" w:hAnsi="Times New Roman"/>
          <w:sz w:val="18"/>
          <w:szCs w:val="18"/>
          <w:color w:val="auto"/>
        </w:rPr>
        <w:t>” shall mean that</w:t>
      </w:r>
    </w:p>
    <w:p>
      <w:pPr>
        <w:spacing w:after="0" w:line="31" w:lineRule="exact"/>
        <w:rPr>
          <w:rFonts w:ascii="Times New Roman" w:cs="Times New Roman" w:eastAsia="Times New Roman" w:hAnsi="Times New Roman"/>
          <w:sz w:val="18"/>
          <w:szCs w:val="18"/>
          <w:b w:val="1"/>
          <w:bCs w:val="1"/>
          <w:color w:val="auto"/>
        </w:rPr>
      </w:pPr>
    </w:p>
    <w:p>
      <w:pPr>
        <w:ind w:left="3" w:right="60" w:firstLine="1"/>
        <w:spacing w:after="0" w:line="252" w:lineRule="auto"/>
        <w:tabs>
          <w:tab w:leader="none" w:pos="29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reasonably determined in good faith that a “Good Reason” condition has occurred; (B) Executive has notified the Company in writing of the first occurrence of the Good Reason condition within 90 days of the first time the Executive becomes aware of the occurrence of such condition; (C) Executive has cooperated in good faith with the Company’s efforts, for a period not less than 30 days immediately following the Company’s receipt of such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to remedy the condition; (D) notwithstanding such efforts, the Good Reason condition continues to exist; and (E) Executive terminates Executive’s employment with the Company within 30 days after the end of the Cure Period. If the Company cures the Good Reason condition during the Cure Period, Good Reason shall be deemed not to have occurred.</w:t>
      </w:r>
    </w:p>
    <w:p>
      <w:pPr>
        <w:spacing w:after="0" w:line="197" w:lineRule="exact"/>
        <w:rPr>
          <w:rFonts w:ascii="Times New Roman" w:cs="Times New Roman" w:eastAsia="Times New Roman" w:hAnsi="Times New Roman"/>
          <w:sz w:val="18"/>
          <w:szCs w:val="18"/>
          <w:color w:val="auto"/>
        </w:rPr>
      </w:pPr>
    </w:p>
    <w:p>
      <w:pPr>
        <w:ind w:left="-17" w:right="120" w:firstLine="710"/>
        <w:spacing w:after="0" w:line="257" w:lineRule="auto"/>
        <w:tabs>
          <w:tab w:leader="none" w:pos="1518" w:val="left"/>
        </w:tabs>
        <w:numPr>
          <w:ilvl w:val="2"/>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and Successors</w:t>
      </w:r>
      <w:r>
        <w:rPr>
          <w:rFonts w:ascii="Times New Roman" w:cs="Times New Roman" w:eastAsia="Times New Roman" w:hAnsi="Times New Roman"/>
          <w:sz w:val="18"/>
          <w:szCs w:val="18"/>
          <w:color w:val="auto"/>
        </w:rPr>
        <w:t>. The Company shall assign its rights and obligations under this Agreement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to 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operation of law, or as otherwise provided herein.</w:t>
      </w:r>
    </w:p>
    <w:p>
      <w:pPr>
        <w:spacing w:after="0" w:line="182" w:lineRule="exact"/>
        <w:rPr>
          <w:rFonts w:ascii="Times New Roman" w:cs="Times New Roman" w:eastAsia="Times New Roman" w:hAnsi="Times New Roman"/>
          <w:sz w:val="18"/>
          <w:szCs w:val="18"/>
          <w:b w:val="1"/>
          <w:bCs w:val="1"/>
          <w:color w:val="auto"/>
        </w:rPr>
      </w:pPr>
    </w:p>
    <w:p>
      <w:pPr>
        <w:ind w:left="1503" w:hanging="750"/>
        <w:spacing w:after="0"/>
        <w:tabs>
          <w:tab w:leader="none" w:pos="1503" w:val="left"/>
        </w:tabs>
        <w:numPr>
          <w:ilvl w:val="3"/>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r>
        <w:rPr>
          <w:rFonts w:ascii="Times New Roman" w:cs="Times New Roman" w:eastAsia="Times New Roman" w:hAnsi="Times New Roman"/>
          <w:sz w:val="18"/>
          <w:szCs w:val="18"/>
          <w:color w:val="auto"/>
        </w:rPr>
        <w:t>.</w:t>
      </w:r>
    </w:p>
    <w:p>
      <w:pPr>
        <w:spacing w:after="0" w:line="283" w:lineRule="exact"/>
        <w:rPr>
          <w:rFonts w:ascii="Times New Roman" w:cs="Times New Roman" w:eastAsia="Times New Roman" w:hAnsi="Times New Roman"/>
          <w:sz w:val="18"/>
          <w:szCs w:val="18"/>
          <w:b w:val="1"/>
          <w:bCs w:val="1"/>
          <w:color w:val="auto"/>
        </w:rPr>
      </w:pPr>
    </w:p>
    <w:p>
      <w:pPr>
        <w:ind w:left="3" w:right="20" w:firstLine="1499"/>
        <w:spacing w:after="0" w:line="255" w:lineRule="auto"/>
        <w:tabs>
          <w:tab w:leader="none" w:pos="2195" w:val="left"/>
        </w:tabs>
        <w:numPr>
          <w:ilvl w:val="4"/>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Restrictive Covenant Agreements; Right to Work</w:t>
      </w:r>
      <w:r>
        <w:rPr>
          <w:rFonts w:ascii="Times New Roman" w:cs="Times New Roman" w:eastAsia="Times New Roman" w:hAnsi="Times New Roman"/>
          <w:sz w:val="18"/>
          <w:szCs w:val="18"/>
          <w:color w:val="auto"/>
        </w:rPr>
        <w:t>. Executive hereby affirms Executive’s obligations under that certain Confidential Information and Intellectual Property Assignment Agreement by and between Executive and the Company dated as of March 8, 2021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The Confidentiality Agreement shall survive the termination of this Agreement and Executive’s employment with the Company for the applicable period(s) set forth therein. Notwithstanding the foregoing, in the event of any conflict between the terms of the Confidentiality Agreement and the terms of this Agreement, the terms of this Agreement shall prevail. As a condition of Executive’s employment with the Company, Executive is required to provide evidence of Executive’s identity and eligibility for employment in the United States.</w:t>
      </w:r>
    </w:p>
    <w:p>
      <w:pPr>
        <w:spacing w:after="0" w:line="283" w:lineRule="exact"/>
        <w:rPr>
          <w:rFonts w:ascii="Times New Roman" w:cs="Times New Roman" w:eastAsia="Times New Roman" w:hAnsi="Times New Roman"/>
          <w:sz w:val="18"/>
          <w:szCs w:val="18"/>
          <w:b w:val="1"/>
          <w:bCs w:val="1"/>
          <w:color w:val="auto"/>
        </w:rPr>
      </w:pPr>
    </w:p>
    <w:p>
      <w:pPr>
        <w:ind w:left="3" w:firstLine="1499"/>
        <w:spacing w:after="0" w:line="261" w:lineRule="auto"/>
        <w:tabs>
          <w:tab w:leader="none" w:pos="2195" w:val="left"/>
        </w:tabs>
        <w:numPr>
          <w:ilvl w:val="4"/>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construed, interpreted, and enforced in accordance with its express terms, and otherwise in accordance with the substantive laws of the State of California, without giving effect to any principles of conflicts of law, whether of the State of California or any other jurisdiction, and where applicable, the laws of the United States, that would result in the application of the laws of any other jurisdiction.</w:t>
      </w:r>
    </w:p>
    <w:p>
      <w:pPr>
        <w:spacing w:after="0" w:line="179" w:lineRule="exact"/>
        <w:rPr>
          <w:rFonts w:ascii="Times New Roman" w:cs="Times New Roman" w:eastAsia="Times New Roman" w:hAnsi="Times New Roman"/>
          <w:sz w:val="18"/>
          <w:szCs w:val="18"/>
          <w:b w:val="1"/>
          <w:bCs w:val="1"/>
          <w:color w:val="auto"/>
        </w:rPr>
      </w:pPr>
    </w:p>
    <w:p>
      <w:pPr>
        <w:ind w:left="3" w:right="140" w:firstLine="1499"/>
        <w:spacing w:after="0" w:line="282" w:lineRule="auto"/>
        <w:tabs>
          <w:tab w:leader="none" w:pos="2195" w:val="left"/>
        </w:tabs>
        <w:numPr>
          <w:ilvl w:val="4"/>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Validity</w:t>
      </w:r>
      <w:r>
        <w:rPr>
          <w:rFonts w:ascii="Times New Roman" w:cs="Times New Roman" w:eastAsia="Times New Roman" w:hAnsi="Times New Roman"/>
          <w:sz w:val="18"/>
          <w:szCs w:val="18"/>
          <w:color w:val="auto"/>
        </w:rPr>
        <w:t>. The invalidity or unenforceability of any provision or provisions of this Agreement shall not affect the validity or enforceability of any other provision of this Agreement, which shall remain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341630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43"/>
          </w:cols>
          <w:pgMar w:left="1117" w:top="333" w:right="11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force and effect.</w:t>
      </w:r>
    </w:p>
    <w:p>
      <w:pPr>
        <w:spacing w:after="0" w:line="225" w:lineRule="exact"/>
        <w:rPr>
          <w:sz w:val="20"/>
          <w:szCs w:val="20"/>
          <w:color w:val="auto"/>
        </w:rPr>
      </w:pPr>
    </w:p>
    <w:p>
      <w:pPr>
        <w:ind w:firstLine="1499"/>
        <w:spacing w:after="0" w:line="266" w:lineRule="auto"/>
        <w:tabs>
          <w:tab w:leader="none" w:pos="219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256" w:lineRule="exact"/>
        <w:rPr>
          <w:rFonts w:ascii="Times New Roman" w:cs="Times New Roman" w:eastAsia="Times New Roman" w:hAnsi="Times New Roman"/>
          <w:sz w:val="18"/>
          <w:szCs w:val="18"/>
          <w:b w:val="1"/>
          <w:bCs w:val="1"/>
          <w:color w:val="auto"/>
        </w:rPr>
      </w:pPr>
    </w:p>
    <w:p>
      <w:pPr>
        <w:ind w:firstLine="1499"/>
        <w:spacing w:after="0" w:line="254" w:lineRule="auto"/>
        <w:tabs>
          <w:tab w:leader="none" w:pos="219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of this Agreement, together with the Confidentiality Agreement, are intended by the Parties to be the final expression of their agreement with respect to the employment of Executive by the Company and supersede all prior understandings and agreements, whether written or oral, regarding Executive’s service to the Company, including without limitation, the Offer Letter. The Parties further intend that this Agreement, together with the Confidentiality Agreement, shall constitute the complete and exclusive statement of their terms and that no extrinsic evidence whatsoever may be introduced in any judicial, administrative, or other legal proceeding to vary the terms of this Agreement or the Confidentiality Agreement. Notwithstanding the foregoing, in the event of any conflict between the terms of the Confidentiality Agreement and the terms of this Agreement, the terms of this Agreement shall prevail.</w:t>
      </w:r>
    </w:p>
    <w:p>
      <w:pPr>
        <w:spacing w:after="0" w:line="191" w:lineRule="exact"/>
        <w:rPr>
          <w:rFonts w:ascii="Times New Roman" w:cs="Times New Roman" w:eastAsia="Times New Roman" w:hAnsi="Times New Roman"/>
          <w:sz w:val="18"/>
          <w:szCs w:val="18"/>
          <w:b w:val="1"/>
          <w:bCs w:val="1"/>
          <w:color w:val="auto"/>
        </w:rPr>
      </w:pPr>
    </w:p>
    <w:p>
      <w:pPr>
        <w:ind w:right="20" w:firstLine="1499"/>
        <w:spacing w:after="0" w:line="255" w:lineRule="auto"/>
        <w:tabs>
          <w:tab w:leader="none" w:pos="219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This Agreement may not be modified, amended, or terminated except by an instrument in writing signed by Executive and a duly authorized representative of the Company. By an instrument in writing similarly executed, Executive or a duly authorized representative of the Company, as applicable,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waiver shall not operate as a waiver of, or estoppel with respect to, any other or subsequent failure. No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and no delay in exercising any right, remedy, or power hereunder shall preclude any other or further exercise of any other right, remedy, or power provided herein or by law or in equity.</w:t>
      </w:r>
    </w:p>
    <w:p>
      <w:pPr>
        <w:spacing w:after="0" w:line="188" w:lineRule="exact"/>
        <w:rPr>
          <w:rFonts w:ascii="Times New Roman" w:cs="Times New Roman" w:eastAsia="Times New Roman" w:hAnsi="Times New Roman"/>
          <w:sz w:val="18"/>
          <w:szCs w:val="18"/>
          <w:b w:val="1"/>
          <w:bCs w:val="1"/>
          <w:color w:val="auto"/>
        </w:rPr>
      </w:pPr>
    </w:p>
    <w:p>
      <w:pPr>
        <w:ind w:right="20" w:firstLine="1499"/>
        <w:spacing w:after="0" w:line="251" w:lineRule="auto"/>
        <w:tabs>
          <w:tab w:leader="none" w:pos="219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To ensure the timely and economical resolution of disputes that arise in connection with this Agreement, Executive and the Company agree that, except as excluded herein, any and all controversies, claims and disputes arising out of or relating to this Agreement, including without limitation any alleged violation of its terms or otherwise arising out of the Parties’ relationship, shall be resolved solely and exclusively by final and binding arbitration held in San Francisco County, California through JAMS in conformity with California law and the then-existing JAMS employment arbitration rules, which can be found at https://www.jamsadr.com/rules-employment-arbitration/. The arbitration provisions of this Agreement shall be governed by and enforceable pursuant to the Federal Arbitration Act. In all other respects for provisions not governed by the Federal Arbitration Act, this Agreement shall be construed in accordance with the laws of the State of California, without reference to conflicts of law principles. The arbitrator shall: (a) provide adequate discovery for the resolution of the dispute; and (b) issue a written arbitration decision, to include the arbitrator’s essential findings and conclusions and a statement of the award. The arbitrator shall award the prevailing Party attorneys’ fees and expert fees, if any. Notwithstanding the foregoing, it is acknowledged that it will be impossible to measure in money the damages that would be suffered if the Parties fail to comply with any of the obligations imposed on them under Section 8(a), and that in the event of any such failure, an aggrieved person will be irreparably damaged and will not have an adequate remedy at law. Any such person shall, therefore, be entitled to seek injunctive relief, including specific performance, to enforce such obligations, and if any action shall be brought in equity to enforce any of the provisions of Section 8(a), none of the Parties shall raise the defense, without a good faith basis for raising such defense, that there is an adequate remedy at law. Executive and the Company understand that by agreement to arbitrate any claim pursuant to this Section 8(h),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representative proceeding. Nothing herein shall limit Executive’s ability to pursue claims for workers compensation or unemployment benefits or pursue other claims which by law cannot be subject to mandatory arbitration.</w:t>
      </w:r>
    </w:p>
    <w:p>
      <w:pPr>
        <w:spacing w:after="0" w:line="205" w:lineRule="exact"/>
        <w:rPr>
          <w:rFonts w:ascii="Times New Roman" w:cs="Times New Roman" w:eastAsia="Times New Roman" w:hAnsi="Times New Roman"/>
          <w:sz w:val="18"/>
          <w:szCs w:val="18"/>
          <w:b w:val="1"/>
          <w:bCs w:val="1"/>
          <w:color w:val="auto"/>
        </w:rPr>
      </w:pPr>
    </w:p>
    <w:p>
      <w:pPr>
        <w:ind w:right="40" w:firstLine="1499"/>
        <w:spacing w:after="0" w:line="255" w:lineRule="auto"/>
        <w:tabs>
          <w:tab w:leader="none" w:pos="2193"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If any provision of this Agreement is held to be illegal, invalid, or unenforceable under present or future laws,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367030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80"/>
          </w:cols>
          <w:pgMar w:left="1120" w:top="121" w:right="1099" w:bottom="1440" w:gutter="0" w:footer="0" w:header="0"/>
        </w:sectPr>
      </w:pPr>
    </w:p>
    <w:bookmarkStart w:id="109" w:name="page110"/>
    <w:bookmarkEnd w:id="109"/>
    <w:p>
      <w:pPr>
        <w:jc w:val="both"/>
        <w:ind w:left="3" w:right="380" w:firstLine="1499"/>
        <w:spacing w:after="0" w:line="266" w:lineRule="auto"/>
        <w:tabs>
          <w:tab w:leader="none" w:pos="2200" w:val="left"/>
        </w:tabs>
        <w:numPr>
          <w:ilvl w:val="3"/>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89" w:lineRule="exact"/>
        <w:rPr>
          <w:rFonts w:ascii="Times New Roman" w:cs="Times New Roman" w:eastAsia="Times New Roman" w:hAnsi="Times New Roman"/>
          <w:sz w:val="18"/>
          <w:szCs w:val="18"/>
          <w:b w:val="1"/>
          <w:bCs w:val="1"/>
          <w:color w:val="auto"/>
        </w:rPr>
      </w:pPr>
    </w:p>
    <w:p>
      <w:pPr>
        <w:ind w:left="2923" w:hanging="672"/>
        <w:spacing w:after="0"/>
        <w:tabs>
          <w:tab w:leader="none" w:pos="2923" w:val="left"/>
        </w:tabs>
        <w:numPr>
          <w:ilvl w:val="5"/>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the Company, to the Board at the Company’s headquarters,</w:t>
      </w:r>
    </w:p>
    <w:p>
      <w:pPr>
        <w:spacing w:after="0" w:line="238" w:lineRule="exact"/>
        <w:rPr>
          <w:rFonts w:ascii="Times New Roman" w:cs="Times New Roman" w:eastAsia="Times New Roman" w:hAnsi="Times New Roman"/>
          <w:sz w:val="18"/>
          <w:szCs w:val="18"/>
          <w:b w:val="1"/>
          <w:bCs w:val="1"/>
          <w:color w:val="auto"/>
        </w:rPr>
      </w:pPr>
    </w:p>
    <w:p>
      <w:pPr>
        <w:ind w:left="2943" w:hanging="692"/>
        <w:spacing w:after="0"/>
        <w:tabs>
          <w:tab w:leader="none" w:pos="2943" w:val="left"/>
        </w:tabs>
        <w:numPr>
          <w:ilvl w:val="5"/>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Executive, to the last address that the Company has in its personnel records for</w:t>
      </w:r>
    </w:p>
    <w:p>
      <w:pPr>
        <w:spacing w:after="0" w:line="27" w:lineRule="exact"/>
        <w:rPr>
          <w:rFonts w:ascii="Times New Roman" w:cs="Times New Roman" w:eastAsia="Times New Roman" w:hAnsi="Times New Roman"/>
          <w:sz w:val="18"/>
          <w:szCs w:val="18"/>
          <w:b w:val="1"/>
          <w:bCs w:val="1"/>
          <w:color w:val="auto"/>
        </w:rPr>
      </w:pPr>
    </w:p>
    <w:p>
      <w:pPr>
        <w:ind w:left="76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Executive, or</w:t>
      </w:r>
    </w:p>
    <w:p>
      <w:pPr>
        <w:spacing w:after="0" w:line="206" w:lineRule="exact"/>
        <w:rPr>
          <w:rFonts w:ascii="Times New Roman" w:cs="Times New Roman" w:eastAsia="Times New Roman" w:hAnsi="Times New Roman"/>
          <w:sz w:val="18"/>
          <w:szCs w:val="18"/>
          <w:b w:val="1"/>
          <w:bCs w:val="1"/>
          <w:color w:val="auto"/>
        </w:rPr>
      </w:pPr>
    </w:p>
    <w:p>
      <w:pPr>
        <w:ind w:left="2923" w:hanging="672"/>
        <w:spacing w:after="0"/>
        <w:tabs>
          <w:tab w:leader="none" w:pos="2923" w:val="left"/>
        </w:tabs>
        <w:numPr>
          <w:ilvl w:val="5"/>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other address as any Party shall have specified by notice in writing to the other</w:t>
      </w:r>
    </w:p>
    <w:p>
      <w:pPr>
        <w:spacing w:after="0" w:line="27" w:lineRule="exact"/>
        <w:rPr>
          <w:rFonts w:ascii="Times New Roman" w:cs="Times New Roman" w:eastAsia="Times New Roman" w:hAnsi="Times New Roman"/>
          <w:sz w:val="18"/>
          <w:szCs w:val="18"/>
          <w:b w:val="1"/>
          <w:bCs w:val="1"/>
          <w:color w:val="auto"/>
        </w:rPr>
      </w:pPr>
    </w:p>
    <w:p>
      <w:pPr>
        <w:ind w:left="76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b w:val="1"/>
          <w:bCs w:val="1"/>
          <w:color w:val="auto"/>
        </w:rPr>
      </w:pPr>
    </w:p>
    <w:p>
      <w:pPr>
        <w:ind w:left="3" w:right="40" w:firstLine="1499"/>
        <w:spacing w:after="0" w:line="289" w:lineRule="auto"/>
        <w:tabs>
          <w:tab w:leader="none" w:pos="2195" w:val="left"/>
        </w:tabs>
        <w:numPr>
          <w:ilvl w:val="4"/>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57" w:lineRule="exact"/>
        <w:rPr>
          <w:rFonts w:ascii="Times New Roman" w:cs="Times New Roman" w:eastAsia="Times New Roman" w:hAnsi="Times New Roman"/>
          <w:sz w:val="17"/>
          <w:szCs w:val="17"/>
          <w:b w:val="1"/>
          <w:bCs w:val="1"/>
          <w:color w:val="auto"/>
        </w:rPr>
      </w:pPr>
    </w:p>
    <w:p>
      <w:pPr>
        <w:ind w:left="3" w:right="80" w:firstLine="1499"/>
        <w:spacing w:after="0" w:line="253" w:lineRule="auto"/>
        <w:tabs>
          <w:tab w:leader="none" w:pos="2195" w:val="left"/>
        </w:tabs>
        <w:numPr>
          <w:ilvl w:val="4"/>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Whistleblower Protections and Trade Secrets</w:t>
      </w:r>
      <w:r>
        <w:rPr>
          <w:rFonts w:ascii="Times New Roman" w:cs="Times New Roman" w:eastAsia="Times New Roman" w:hAnsi="Times New Roman"/>
          <w:sz w:val="18"/>
          <w:szCs w:val="18"/>
          <w:color w:val="auto"/>
        </w:rPr>
        <w:t>. Notwithstanding anything to the contrary contained herein, nothing in this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w:t>
      </w:r>
    </w:p>
    <w:p>
      <w:pPr>
        <w:spacing w:after="0" w:line="5" w:lineRule="exact"/>
        <w:rPr>
          <w:rFonts w:ascii="Times New Roman" w:cs="Times New Roman" w:eastAsia="Times New Roman" w:hAnsi="Times New Roman"/>
          <w:sz w:val="18"/>
          <w:szCs w:val="18"/>
          <w:b w:val="1"/>
          <w:bCs w:val="1"/>
          <w:color w:val="auto"/>
        </w:rPr>
      </w:pPr>
    </w:p>
    <w:p>
      <w:pPr>
        <w:ind w:left="3" w:right="60" w:hanging="3"/>
        <w:spacing w:after="0" w:line="252" w:lineRule="auto"/>
        <w:tabs>
          <w:tab w:leader="none" w:pos="2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97" w:lineRule="exact"/>
        <w:rPr>
          <w:rFonts w:ascii="Times New Roman" w:cs="Times New Roman" w:eastAsia="Times New Roman" w:hAnsi="Times New Roman"/>
          <w:sz w:val="18"/>
          <w:szCs w:val="18"/>
          <w:color w:val="auto"/>
        </w:rPr>
      </w:pPr>
    </w:p>
    <w:p>
      <w:pPr>
        <w:ind w:left="-17" w:firstLine="710"/>
        <w:spacing w:after="0" w:line="254" w:lineRule="auto"/>
        <w:tabs>
          <w:tab w:leader="none" w:pos="1518"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Prior Employment</w:t>
      </w:r>
      <w:r>
        <w:rPr>
          <w:rFonts w:ascii="Times New Roman" w:cs="Times New Roman" w:eastAsia="Times New Roman" w:hAnsi="Times New Roman"/>
          <w:sz w:val="18"/>
          <w:szCs w:val="18"/>
          <w:color w:val="auto"/>
        </w:rPr>
        <w:t>. Executive represents and warrants that Executive’s acceptance of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has not breached, and the performance of Executive’s duties hereunder will not breach, any duty owed by Executive to any prior employer or other person. Executive further represents and warrants to the Company that (a) the performance of Executive’s obligations hereunder will not violate any agreement between Executive and any other person, firm, organization, or other entity; (b) Executive is not bound by the terms of any agreement with any previous employer or other party to refrain from competing, directly or indirectly, with the business of such previous employer or other party that would be violated by Executive entering into this Agreement and/or providing services to the Company pursuant to the terms of this Agreement; and (c) Executive’s performance of Executive’s duties under this Agreement will not require Executive to, and Executive shall not, rely on in the performance of Executive’s duties or disclose to the Company or any other person or entity or induce the Company in any way to use or rely on any trade secret or other confidential or proprietary information or material belonging to any previous employer of Executive.</w:t>
      </w:r>
    </w:p>
    <w:p>
      <w:pPr>
        <w:spacing w:after="0" w:line="185" w:lineRule="exact"/>
        <w:rPr>
          <w:rFonts w:ascii="Times New Roman" w:cs="Times New Roman" w:eastAsia="Times New Roman" w:hAnsi="Times New Roman"/>
          <w:sz w:val="18"/>
          <w:szCs w:val="18"/>
          <w:b w:val="1"/>
          <w:bCs w:val="1"/>
          <w:color w:val="auto"/>
        </w:rPr>
      </w:pPr>
    </w:p>
    <w:p>
      <w:pPr>
        <w:ind w:left="1503" w:hanging="750"/>
        <w:spacing w:after="0"/>
        <w:tabs>
          <w:tab w:leader="none" w:pos="1503" w:val="left"/>
        </w:tabs>
        <w:numPr>
          <w:ilvl w:val="2"/>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Golden Parachute Excise Tax</w:t>
      </w:r>
      <w:r>
        <w:rPr>
          <w:rFonts w:ascii="Times New Roman" w:cs="Times New Roman" w:eastAsia="Times New Roman" w:hAnsi="Times New Roman"/>
          <w:sz w:val="18"/>
          <w:szCs w:val="18"/>
          <w:color w:val="auto"/>
        </w:rPr>
        <w:t>.</w:t>
      </w:r>
    </w:p>
    <w:p>
      <w:pPr>
        <w:spacing w:after="0" w:line="242" w:lineRule="exact"/>
        <w:rPr>
          <w:rFonts w:ascii="Times New Roman" w:cs="Times New Roman" w:eastAsia="Times New Roman" w:hAnsi="Times New Roman"/>
          <w:sz w:val="18"/>
          <w:szCs w:val="18"/>
          <w:b w:val="1"/>
          <w:bCs w:val="1"/>
          <w:color w:val="auto"/>
        </w:rPr>
      </w:pPr>
    </w:p>
    <w:p>
      <w:pPr>
        <w:ind w:left="3" w:right="60" w:firstLine="1499"/>
        <w:spacing w:after="0" w:line="253" w:lineRule="auto"/>
        <w:tabs>
          <w:tab w:leader="none" w:pos="2195" w:val="left"/>
        </w:tabs>
        <w:numPr>
          <w:ilvl w:val="4"/>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Best Pay</w:t>
      </w:r>
      <w:r>
        <w:rPr>
          <w:rFonts w:ascii="Times New Roman" w:cs="Times New Roman" w:eastAsia="Times New Roman" w:hAnsi="Times New Roman"/>
          <w:sz w:val="18"/>
          <w:szCs w:val="18"/>
          <w:color w:val="auto"/>
        </w:rPr>
        <w:t>. Any provision of this Agreement to the contrary notwithstanding, if any payment or benefit Executive would receive from the Company pursuant to this Agreement or otherwise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such Payment will be equal to the Reduced Amount (as defined below).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will be either (A) the largest portion of the Payment that would result in no portion of the Payment (after reduction) being subject to the Excise Tax or (B) the entire Payment, whichever amount after taking into account all applicable federal, state, and local employment taxes, income taxes, and the Excise Tax (all computed at the highest applicable marginal rate, net of the maximum reduction in federal income taxes which could be obtained from a deduction of such state and local taxes), results in Executive’ s receipt, on an after- tax basis, of the greater economic benefit notwithstanding that all or some portion of the Payment may be subject to the Excise Tax. If a reduction in a Payment is required pursuant to the preceding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361950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3"/>
          </w:cols>
          <w:pgMar w:left="1117" w:top="391" w:right="1079" w:bottom="1440" w:gutter="0" w:footer="0" w:header="0"/>
        </w:sectPr>
      </w:pPr>
    </w:p>
    <w:bookmarkStart w:id="110" w:name="page111"/>
    <w:bookmarkEnd w:id="110"/>
    <w:p>
      <w:pPr>
        <w:ind w:left="3"/>
        <w:spacing w:after="0" w:line="253" w:lineRule="auto"/>
        <w:rPr>
          <w:sz w:val="20"/>
          <w:szCs w:val="20"/>
          <w:color w:val="auto"/>
        </w:rPr>
      </w:pPr>
      <w:r>
        <w:rPr>
          <w:rFonts w:ascii="Times New Roman" w:cs="Times New Roman" w:eastAsia="Times New Roman" w:hAnsi="Times New Roman"/>
          <w:sz w:val="18"/>
          <w:szCs w:val="18"/>
          <w:color w:val="auto"/>
        </w:rPr>
        <w:t>sentence and the Reduced Amount is determined pursuant to clause (A) of the preceding sentence, the reduction shall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Executive.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 Notwithstanding the foregoing, if the Reduction Method or the Pro Rata Reduction Method would result in any portion of the Payment being subject to taxes pursuant to Section 409A (as defined below) that would not otherwise be subject to taxes pursuant to Section 409A, then the Reduction Method and/or the Pro Rata Reduction Method, as the case may be, shall be modified so as to avoid the imposition of taxes pursuant to Section 409A as follows: (1) as a first priority, the modification shall preserve to the greatest extent possible, the greatest economic benefit for Executive as determined on an after-tax basis; (2) as a second priority, Payments that are contingent on future events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being terminated without cause), shall be reduced (or eliminated) before Payments that are not contingent on future events; and (3) as a third priority, Payments that are “deferred compensation” within the meaning of Section 409A shall be reduced (or eliminated) before Payments that are not deferred compensation within the meaning of Section 409A.</w:t>
      </w:r>
    </w:p>
    <w:p>
      <w:pPr>
        <w:spacing w:after="0" w:line="246" w:lineRule="exact"/>
        <w:rPr>
          <w:sz w:val="20"/>
          <w:szCs w:val="20"/>
          <w:color w:val="auto"/>
        </w:rPr>
      </w:pPr>
    </w:p>
    <w:p>
      <w:pPr>
        <w:ind w:left="3" w:right="60" w:firstLine="1499"/>
        <w:spacing w:after="0" w:line="253" w:lineRule="auto"/>
        <w:tabs>
          <w:tab w:leader="none" w:pos="2195" w:val="left"/>
        </w:tabs>
        <w:numPr>
          <w:ilvl w:val="2"/>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The accounting firm engaged by the Company for general tax purposes as of the day prior to the Change in Control will perform the calculations set forth in Section 10(a). If the firm so engaged by the Company is serving as the accountant or auditor for the acquiring company, the Company will appoint a nationally recognized accounting firm to make the determinations required hereunder. The Company will bear all expenses with respect to the determinations by such firm required to be made hereunder. The accounting firm engaged to make the determinations hereunder will provide its calculations, together with detailed supporting documentation, to the Company within 30 days before the consummation of a Change in Control (if requested at that time by the Company) or such other time as requested by the Company. If the accounting firm determines that no Excise Tax is payable with respect to a Payment, either before or after the application of the Reduced Amount, it will furnish the Company with documentation reasonably acceptable to the Company that no Excise Tax will be imposed with respect to such Payment. Any good faith determinations of the accounting firm made hereunder will be final, binding and conclusive upon the Company and Executive.</w:t>
      </w:r>
    </w:p>
    <w:p>
      <w:pPr>
        <w:spacing w:after="0" w:line="201" w:lineRule="exact"/>
        <w:rPr>
          <w:rFonts w:ascii="Times New Roman" w:cs="Times New Roman" w:eastAsia="Times New Roman" w:hAnsi="Times New Roman"/>
          <w:sz w:val="18"/>
          <w:szCs w:val="18"/>
          <w:b w:val="1"/>
          <w:bCs w:val="1"/>
          <w:color w:val="auto"/>
        </w:rPr>
      </w:pPr>
    </w:p>
    <w:p>
      <w:pPr>
        <w:ind w:left="1503" w:hanging="750"/>
        <w:spacing w:after="0"/>
        <w:tabs>
          <w:tab w:leader="none" w:pos="1503"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3" w:right="100" w:firstLine="1499"/>
        <w:spacing w:after="0" w:line="253" w:lineRule="auto"/>
        <w:tabs>
          <w:tab w:leader="none" w:pos="2195"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intent of the Parties is that the payments and benefits under this Agreement comply with or be exempt from Section 409A of the Code and the Department of Treasury regulations and other interpretive guidance issued thereunder, including without limitation any such regulations or other guidance that may be issued after the Effective Date, (“</w:t>
      </w:r>
      <w:r>
        <w:rPr>
          <w:rFonts w:ascii="Times New Roman" w:cs="Times New Roman" w:eastAsia="Times New Roman" w:hAnsi="Times New Roman"/>
          <w:sz w:val="18"/>
          <w:szCs w:val="18"/>
          <w:b w:val="1"/>
          <w:bCs w:val="1"/>
          <w:i w:val="1"/>
          <w:i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409A</w:t>
      </w:r>
      <w:r>
        <w:rPr>
          <w:rFonts w:ascii="Times New Roman" w:cs="Times New Roman" w:eastAsia="Times New Roman" w:hAnsi="Times New Roman"/>
          <w:sz w:val="18"/>
          <w:szCs w:val="18"/>
          <w:color w:val="auto"/>
        </w:rPr>
        <w:t>”) and, accordingly, to the maximum extent permitted, this Agreement shall be interpreted to be in compliance therewith.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Notwithstanding any provision of this Agreement to the contrary, if the Company determines that any compensation or benefits payable under this Agreement may be subject to Section 409A, the Company shall work in good faith with Executive to adopt such amendments to this Agreement or adopt other policies and procedures (including amendments, policies and procedures with retroactive effect), or take any other actions, that the Company determines are necessary or appropriate to avoid the imposition of taxes under Section 409A, including, without limitation, actions intended to (i) exempt the compensation and benefits payable under this Agreement from Section 409A, and/or (ii) comply with the requirements of Section 409A; however, this Section 11(a) shall not create an obligation on the part of the Company to adopt any such amendment, policy or procedure or take any such other action, nor shall the Company (A) have any liability for failing to do so, or (B) incur or indemnify Executive for any taxes, interest or other liabilities arising under or by operation of Section 409A.</w:t>
      </w:r>
    </w:p>
    <w:p>
      <w:pPr>
        <w:spacing w:after="0" w:line="200" w:lineRule="exact"/>
        <w:rPr>
          <w:rFonts w:ascii="Times New Roman" w:cs="Times New Roman" w:eastAsia="Times New Roman" w:hAnsi="Times New Roman"/>
          <w:sz w:val="18"/>
          <w:szCs w:val="18"/>
          <w:b w:val="1"/>
          <w:bCs w:val="1"/>
          <w:color w:val="auto"/>
        </w:rPr>
      </w:pPr>
    </w:p>
    <w:p>
      <w:pPr>
        <w:ind w:left="2203" w:hanging="701"/>
        <w:spacing w:after="0"/>
        <w:tabs>
          <w:tab w:leader="none" w:pos="2203"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Separation from Service, Installments and Reimbursements</w:t>
      </w:r>
      <w:r>
        <w:rPr>
          <w:rFonts w:ascii="Times New Roman" w:cs="Times New Roman" w:eastAsia="Times New Roman" w:hAnsi="Times New Roman"/>
          <w:sz w:val="18"/>
          <w:szCs w:val="18"/>
          <w:color w:val="auto"/>
        </w:rPr>
        <w:t>. Notwithstanding any provision to the</w:t>
      </w:r>
    </w:p>
    <w:p>
      <w:pPr>
        <w:spacing w:after="0" w:line="27" w:lineRule="exact"/>
        <w:rPr>
          <w:rFonts w:ascii="Times New Roman" w:cs="Times New Roman" w:eastAsia="Times New Roman" w:hAnsi="Times New Roman"/>
          <w:sz w:val="18"/>
          <w:szCs w:val="18"/>
          <w:b w:val="1"/>
          <w:bCs w:val="1"/>
          <w:color w:val="auto"/>
        </w:rPr>
      </w:pPr>
    </w:p>
    <w:p>
      <w:pPr>
        <w:ind w:left="3" w:right="1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contrary in this Agreement: (i) no amount that constitutes “deferred compensation” under Section 409A shall be payable pursuant to Section 6 unless the termination of Executive’s employment constitutes a “separation from service” within the meaning of Section 1.409A-1(h) of the Department of Treasury Regulations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b w:val="1"/>
          <w:bCs w:val="1"/>
          <w:color w:val="auto"/>
        </w:rPr>
      </w:pPr>
    </w:p>
    <w:p>
      <w:pPr>
        <w:ind w:left="3" w:right="300" w:hanging="3"/>
        <w:spacing w:after="0" w:line="239" w:lineRule="auto"/>
        <w:tabs>
          <w:tab w:leader="none" w:pos="26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Executive’s right to receive installment payments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w:t>
      </w:r>
    </w:p>
    <w:p>
      <w:pPr>
        <w:spacing w:after="0" w:line="255" w:lineRule="exact"/>
        <w:rPr>
          <w:rFonts w:ascii="Times New Roman" w:cs="Times New Roman" w:eastAsia="Times New Roman" w:hAnsi="Times New Roman"/>
          <w:sz w:val="18"/>
          <w:szCs w:val="18"/>
          <w:color w:val="auto"/>
        </w:rPr>
      </w:pPr>
    </w:p>
    <w:p>
      <w:pPr>
        <w:ind w:left="3" w:right="520" w:firstLine="1499"/>
        <w:spacing w:after="0" w:line="282" w:lineRule="auto"/>
        <w:tabs>
          <w:tab w:leader="none" w:pos="2195"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Notwithstanding anything in this Agreement to the contrary, if Executive is deemed by the Company at the time of Executive’s Separation from Service to be a “specified employee”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349885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83"/>
          </w:cols>
          <w:pgMar w:left="1117" w:top="121" w:right="1099" w:bottom="1440" w:gutter="0" w:footer="0" w:header="0"/>
        </w:sectPr>
      </w:pPr>
    </w:p>
    <w:bookmarkStart w:id="111" w:name="page112"/>
    <w:bookmarkEnd w:id="111"/>
    <w:p>
      <w:pPr>
        <w:ind w:right="100"/>
        <w:spacing w:after="0" w:line="255" w:lineRule="auto"/>
        <w:rPr>
          <w:sz w:val="20"/>
          <w:szCs w:val="20"/>
          <w:color w:val="auto"/>
        </w:rPr>
      </w:pPr>
      <w:r>
        <w:rPr>
          <w:rFonts w:ascii="Times New Roman" w:cs="Times New Roman" w:eastAsia="Times New Roman" w:hAnsi="Times New Roman"/>
          <w:sz w:val="18"/>
          <w:szCs w:val="18"/>
          <w:color w:val="auto"/>
        </w:rPr>
        <w:t>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89" w:lineRule="exact"/>
        <w:rPr>
          <w:sz w:val="20"/>
          <w:szCs w:val="20"/>
          <w:color w:val="auto"/>
        </w:rPr>
      </w:pPr>
    </w:p>
    <w:p>
      <w:pPr>
        <w:ind w:firstLine="1499"/>
        <w:spacing w:after="0" w:line="252" w:lineRule="auto"/>
        <w:tabs>
          <w:tab w:leader="none" w:pos="2193"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Notwithstanding anything to the contrary in this Agreement, to the extent that any payments due under this Agreement as a result of Executive’s termination of employment are subject to Executive’s execution and delivery of the Release, (i) if Executive fails to execute the Release on or prior to the Release Expiration Date (as defined below) or timely revokes Executive’s acceptance of the Release thereafter, Executive shall not be entitled to any payments or benefits otherwise conditioned on the Release, and (ii) in any case where Executive’s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Section 11(d), “</w:t>
      </w:r>
      <w:r>
        <w:rPr>
          <w:rFonts w:ascii="Times New Roman" w:cs="Times New Roman" w:eastAsia="Times New Roman" w:hAnsi="Times New Roman"/>
          <w:sz w:val="18"/>
          <w:szCs w:val="18"/>
          <w:b w:val="1"/>
          <w:bCs w:val="1"/>
          <w:i w:val="1"/>
          <w:iCs w:val="1"/>
          <w:color w:val="auto"/>
        </w:rPr>
        <w:t>Release Expiration Date</w:t>
      </w:r>
      <w:r>
        <w:rPr>
          <w:rFonts w:ascii="Times New Roman" w:cs="Times New Roman" w:eastAsia="Times New Roman" w:hAnsi="Times New Roman"/>
          <w:sz w:val="18"/>
          <w:szCs w:val="18"/>
          <w:color w:val="auto"/>
        </w:rPr>
        <w:t>” shall mean (1) if Executive is under 40 years old as of the Date of Termination, the date that is seven days following the date upon which the Company timely delivers the Release to Executive, or such shorter time prescribed by the Company, and (2) if Executive is 40 years or older as of the Date of Termination, the date that is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45 days following such delivery date. To the extent that any payments of nonqualified deferred compensation (within the meaning of Section 409A) due under this Agreement as a result of Executive’s termination of employment are delayed pursuant to this Section 11(d), such amounts shall be paid in a lump sum on the first payroll date following the date that Executive executes and does not revoke the Release (and the applicable revocation period has expired) or, in the case of any payments subject to Section 11(d)(ii), on the first payroll period to occur in the subsequent taxable year, if later.</w:t>
      </w:r>
    </w:p>
    <w:p>
      <w:pPr>
        <w:spacing w:after="0" w:line="202" w:lineRule="exact"/>
        <w:rPr>
          <w:rFonts w:ascii="Times New Roman" w:cs="Times New Roman" w:eastAsia="Times New Roman" w:hAnsi="Times New Roman"/>
          <w:sz w:val="18"/>
          <w:szCs w:val="18"/>
          <w:b w:val="1"/>
          <w:bCs w:val="1"/>
          <w:color w:val="auto"/>
        </w:rPr>
      </w:pPr>
    </w:p>
    <w:p>
      <w:pPr>
        <w:ind w:left="-20" w:right="320" w:firstLine="710"/>
        <w:spacing w:after="0" w:line="291" w:lineRule="auto"/>
        <w:tabs>
          <w:tab w:leader="none" w:pos="1515"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Employee Acknowledgement</w:t>
      </w:r>
      <w:r>
        <w:rPr>
          <w:rFonts w:ascii="Times New Roman" w:cs="Times New Roman" w:eastAsia="Times New Roman" w:hAnsi="Times New Roman"/>
          <w:sz w:val="17"/>
          <w:szCs w:val="17"/>
          <w:color w:val="auto"/>
        </w:rPr>
        <w:t>. Executive acknowledges that Executive has read and understands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528955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40"/>
          </w:cols>
          <w:pgMar w:left="1120" w:top="175" w:right="11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The Parties have executed this Agreement as of the date set forth above.</w:t>
      </w:r>
    </w:p>
    <w:p>
      <w:pPr>
        <w:spacing w:after="0" w:line="23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AMPLITUDE, INC.</w:t>
      </w:r>
    </w:p>
    <w:p>
      <w:pPr>
        <w:spacing w:after="0" w:line="33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26035</wp:posOffset>
            </wp:positionV>
            <wp:extent cx="305181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92" w:lineRule="exact"/>
        <w:rPr>
          <w:sz w:val="20"/>
          <w:szCs w:val="20"/>
          <w:color w:val="auto"/>
        </w:rPr>
      </w:pPr>
    </w:p>
    <w:p>
      <w:pPr>
        <w:ind w:left="4840"/>
        <w:spacing w:after="0"/>
        <w:tabs>
          <w:tab w:leader="none" w:pos="5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(_________)</w:t>
      </w:r>
    </w:p>
    <w:p>
      <w:pPr>
        <w:spacing w:after="0" w:line="18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7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3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26035</wp:posOffset>
            </wp:positionV>
            <wp:extent cx="305181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92" w:lineRule="exact"/>
        <w:rPr>
          <w:sz w:val="20"/>
          <w:szCs w:val="20"/>
          <w:color w:val="auto"/>
        </w:rPr>
      </w:pPr>
    </w:p>
    <w:p>
      <w:pPr>
        <w:ind w:left="4840"/>
        <w:spacing w:after="0"/>
        <w:tabs>
          <w:tab w:leader="none" w:pos="5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(_________)</w:t>
      </w:r>
    </w:p>
    <w:p>
      <w:pPr>
        <w:spacing w:after="0" w:line="18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227330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39"/>
          </w:cols>
          <w:pgMar w:left="1120" w:top="121" w:right="1440"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ectPr>
          <w:pgSz w:w="11900" w:h="16838" w:orient="portrait"/>
          <w:cols w:equalWidth="0" w:num="1">
            <w:col w:w="9019"/>
          </w:cols>
          <w:pgMar w:left="1440" w:top="185" w:right="1440" w:bottom="1440" w:gutter="0" w:footer="0" w:header="0"/>
        </w:sect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Affiliations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537210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85" w:right="1440" w:bottom="1440" w:gutter="0" w:footer="0" w:header="0"/>
          <w:type w:val="continuous"/>
        </w:sectPr>
      </w:pPr>
    </w:p>
    <w:bookmarkStart w:id="114" w:name="page115"/>
    <w:bookmarkEnd w:id="114"/>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6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RELEASE OF CLAIMS</w:t>
      </w:r>
      <w:r>
        <w:rPr>
          <w:rFonts w:ascii="Times New Roman" w:cs="Times New Roman" w:eastAsia="Times New Roman" w:hAnsi="Times New Roman"/>
          <w:sz w:val="24"/>
          <w:szCs w:val="24"/>
          <w:color w:val="auto"/>
          <w:vertAlign w:val="superscript"/>
        </w:rPr>
        <w:t>1</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This Release of Claims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is entered into as of _______, 20__, between [_____]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Amplitude,</w:t>
      </w:r>
    </w:p>
    <w:p>
      <w:pPr>
        <w:spacing w:after="0" w:line="31" w:lineRule="exact"/>
        <w:rPr>
          <w:sz w:val="20"/>
          <w:szCs w:val="20"/>
          <w:color w:val="auto"/>
        </w:rPr>
      </w:pPr>
    </w:p>
    <w:p>
      <w:pPr>
        <w:jc w:val="both"/>
        <w:ind w:left="280" w:right="340"/>
        <w:spacing w:after="0" w:line="253" w:lineRule="auto"/>
        <w:rPr>
          <w:sz w:val="20"/>
          <w:szCs w:val="20"/>
          <w:color w:val="auto"/>
        </w:rPr>
      </w:pPr>
      <w:r>
        <w:rPr>
          <w:rFonts w:ascii="Times New Roman" w:cs="Times New Roman" w:eastAsia="Times New Roman" w:hAnsi="Times New Roman"/>
          <w:sz w:val="18"/>
          <w:szCs w:val="18"/>
          <w:color w:val="auto"/>
        </w:rPr>
        <w:t>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effective [eight days after]OR[as of] Executive’s signature hereto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unless Executive revokes his acceptance of this Release as provided in Paragraph 2(c), below. This Agreement is being executed in connection with the terms of the Employment Agreement by and between the Parties dated as of [___], 20__ (the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which is incorporated herein by reference.</w:t>
      </w:r>
    </w:p>
    <w:p>
      <w:pPr>
        <w:spacing w:after="0" w:line="216" w:lineRule="exact"/>
        <w:rPr>
          <w:sz w:val="20"/>
          <w:szCs w:val="20"/>
          <w:color w:val="auto"/>
        </w:rPr>
      </w:pPr>
    </w:p>
    <w:p>
      <w:pPr>
        <w:ind w:left="260" w:right="20" w:firstLine="710"/>
        <w:spacing w:after="0" w:line="254" w:lineRule="auto"/>
        <w:tabs>
          <w:tab w:leader="none" w:pos="17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The Parties hereby acknowledge and agree that Executive’s employment, including his service in all positions that Executive held as an officer of the Company and as a member of the Company’s board of directors, ended effective as of [_____]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The Parties acknowledge and agree that Executive is entitled to receive, and has received, payment of an amount equal to all accrued wages (including base salary and bonus compensation) earned through the Termination Date, including accrued vacation, less applicable withholding, as well as reimbursement for all expenses incurred by Executive on behalf of the Company, which are consistent with the Company’s policies in effect from time to time with respect to travel, entertainment and other business expenses, subject to the Company’s requirements with respect to reporting and documenting such expenses.</w:t>
      </w:r>
    </w:p>
    <w:p>
      <w:pPr>
        <w:spacing w:after="0" w:line="218" w:lineRule="exact"/>
        <w:rPr>
          <w:rFonts w:ascii="Times New Roman" w:cs="Times New Roman" w:eastAsia="Times New Roman" w:hAnsi="Times New Roman"/>
          <w:sz w:val="18"/>
          <w:szCs w:val="18"/>
          <w:color w:val="auto"/>
        </w:rPr>
      </w:pPr>
    </w:p>
    <w:p>
      <w:pPr>
        <w:ind w:left="260" w:right="520" w:firstLine="710"/>
        <w:spacing w:after="0" w:line="266" w:lineRule="auto"/>
        <w:tabs>
          <w:tab w:leader="none" w:pos="17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Release of the Company</w:t>
      </w:r>
      <w:r>
        <w:rPr>
          <w:rFonts w:ascii="Times New Roman" w:cs="Times New Roman" w:eastAsia="Times New Roman" w:hAnsi="Times New Roman"/>
          <w:sz w:val="18"/>
          <w:szCs w:val="18"/>
          <w:color w:val="auto"/>
        </w:rPr>
        <w:t>. Executive understands that by agreeing to this Release, Executive is agreeing not to sue, or otherwise file any claim against, the Company or any of its employees or other agents for any reason whatsoever based on anything that has occurred as of the date Executive signs this Release.</w:t>
      </w:r>
    </w:p>
    <w:p>
      <w:pPr>
        <w:spacing w:after="0" w:line="202" w:lineRule="exact"/>
        <w:rPr>
          <w:rFonts w:ascii="Times New Roman" w:cs="Times New Roman" w:eastAsia="Times New Roman" w:hAnsi="Times New Roman"/>
          <w:sz w:val="18"/>
          <w:szCs w:val="18"/>
          <w:color w:val="auto"/>
        </w:rPr>
      </w:pPr>
    </w:p>
    <w:p>
      <w:pPr>
        <w:ind w:left="280" w:firstLine="1499"/>
        <w:spacing w:after="0" w:line="252" w:lineRule="auto"/>
        <w:tabs>
          <w:tab w:leader="none" w:pos="247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Executive and Executive’s heirs and assigns, Executive hereby releases and forever discharges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hereunder, consisting of the Company, and each of its owners, affiliates, divisions,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resignation by the Releasees, or any of them, including Claims arising under federal, state, or local laws relating to employment, Claims of any kind that may be brought in any court or administrative agency, any Claims arising under the Age Discrimination in Employment Act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29 U.S.C. § 621, et seq.; Title VII of the Civil Rights Act of 1964, as amended by the Civil Rights Act of 1991, 42 U.S.C. § 2000 et seq.; the Equal Pay Act, 29 U.S.C. § 206(d); the Civil Rights Act of 1866, 42 U.S.C. § 1981; the Family and Medical Leave Act of 1993, 29 U.S.C. § 2601 et seq.; the Americans with Disabilities Act of 1990, 42 U.S.C. § 12101 et seq.; the False Claims Act, 31 U.S.C. § 3729 et seq.; the Employee Retirement Income Security Act, 29 U.S.C. § 1001 et seq.; the Worker Adjustment and Retraining Notification Act, 29 U.S.C. § 2101 et seq. the Fair Labor Standards Act, 29 U.S.C. § 215 et seq., the Sarbanes-Oxley Act of 2002; the California Labor Code; the employment and civil rights laws of California; Claims any other local, state or federal law governing employment;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b w:val="1"/>
          <w:bCs w:val="1"/>
          <w:color w:val="auto"/>
        </w:rPr>
        <w:t>NTD:</w:t>
      </w:r>
      <w:r>
        <w:rPr>
          <w:rFonts w:ascii="Times New Roman" w:cs="Times New Roman" w:eastAsia="Times New Roman" w:hAnsi="Times New Roman"/>
          <w:sz w:val="14"/>
          <w:szCs w:val="14"/>
          <w:color w:val="auto"/>
        </w:rPr>
        <w:t xml:space="preserve"> To be updated for any changes in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518160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840" w:top="117" w:right="1119" w:bottom="1440" w:gutter="0" w:footer="0" w:header="0"/>
        </w:sectPr>
      </w:pPr>
    </w:p>
    <w:bookmarkStart w:id="115" w:name="page116"/>
    <w:bookmarkEnd w:id="115"/>
    <w:p>
      <w:pPr>
        <w:ind w:left="2200" w:hanging="701"/>
        <w:spacing w:after="0"/>
        <w:tabs>
          <w:tab w:leader="none" w:pos="22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generality of the foregoing, Executive does not release the following claims:</w:t>
      </w:r>
    </w:p>
    <w:p>
      <w:pPr>
        <w:spacing w:after="0" w:line="225" w:lineRule="exact"/>
        <w:rPr>
          <w:rFonts w:ascii="Times New Roman" w:cs="Times New Roman" w:eastAsia="Times New Roman" w:hAnsi="Times New Roman"/>
          <w:sz w:val="18"/>
          <w:szCs w:val="18"/>
          <w:color w:val="auto"/>
        </w:rPr>
      </w:pPr>
    </w:p>
    <w:p>
      <w:pPr>
        <w:ind w:left="2940" w:hanging="692"/>
        <w:spacing w:after="0"/>
        <w:tabs>
          <w:tab w:leader="none" w:pos="29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to enforce this Release;</w:t>
      </w:r>
    </w:p>
    <w:p>
      <w:pPr>
        <w:spacing w:after="0" w:line="225" w:lineRule="exact"/>
        <w:rPr>
          <w:rFonts w:ascii="Times New Roman" w:cs="Times New Roman" w:eastAsia="Times New Roman" w:hAnsi="Times New Roman"/>
          <w:sz w:val="18"/>
          <w:szCs w:val="18"/>
          <w:color w:val="auto"/>
        </w:rPr>
      </w:pPr>
    </w:p>
    <w:p>
      <w:pPr>
        <w:ind w:left="760" w:right="20" w:firstLine="1488"/>
        <w:spacing w:after="0" w:line="282" w:lineRule="auto"/>
        <w:tabs>
          <w:tab w:leader="none" w:pos="294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unemployment compensation or any state disability insurance benefits pursuant to the terms of applicable state law;</w:t>
      </w:r>
    </w:p>
    <w:p>
      <w:pPr>
        <w:spacing w:after="0" w:line="161" w:lineRule="exact"/>
        <w:rPr>
          <w:rFonts w:ascii="Times New Roman" w:cs="Times New Roman" w:eastAsia="Times New Roman" w:hAnsi="Times New Roman"/>
          <w:sz w:val="18"/>
          <w:szCs w:val="18"/>
          <w:color w:val="auto"/>
        </w:rPr>
      </w:pPr>
    </w:p>
    <w:p>
      <w:pPr>
        <w:ind w:left="760" w:right="560" w:firstLine="1488"/>
        <w:spacing w:after="0" w:line="282" w:lineRule="auto"/>
        <w:tabs>
          <w:tab w:leader="none" w:pos="294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workers’ compensation insurance benefits under the terms of any worker’s compensation insurance policy or fund of the Company;</w:t>
      </w:r>
    </w:p>
    <w:p>
      <w:pPr>
        <w:spacing w:after="0" w:line="161" w:lineRule="exact"/>
        <w:rPr>
          <w:rFonts w:ascii="Times New Roman" w:cs="Times New Roman" w:eastAsia="Times New Roman" w:hAnsi="Times New Roman"/>
          <w:sz w:val="18"/>
          <w:szCs w:val="18"/>
          <w:color w:val="auto"/>
        </w:rPr>
      </w:pPr>
    </w:p>
    <w:p>
      <w:pPr>
        <w:ind w:left="760" w:right="20" w:firstLine="1488"/>
        <w:spacing w:after="0" w:line="282" w:lineRule="auto"/>
        <w:tabs>
          <w:tab w:leader="none" w:pos="294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to continued participation in certain of the Company’s group benefit plans pursuant to the terms and conditions of COBRA;</w:t>
      </w:r>
    </w:p>
    <w:p>
      <w:pPr>
        <w:spacing w:after="0" w:line="161" w:lineRule="exact"/>
        <w:rPr>
          <w:rFonts w:ascii="Times New Roman" w:cs="Times New Roman" w:eastAsia="Times New Roman" w:hAnsi="Times New Roman"/>
          <w:sz w:val="18"/>
          <w:szCs w:val="18"/>
          <w:color w:val="auto"/>
        </w:rPr>
      </w:pPr>
    </w:p>
    <w:p>
      <w:pPr>
        <w:ind w:left="760" w:right="20" w:firstLine="1488"/>
        <w:spacing w:after="0" w:line="282" w:lineRule="auto"/>
        <w:tabs>
          <w:tab w:leader="none" w:pos="294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to any benefit entitlements vested as the date of Executive’s employment termination, pursuant to written terms of any Company employee benefit plan;</w:t>
      </w:r>
    </w:p>
    <w:p>
      <w:pPr>
        <w:spacing w:after="0" w:line="161" w:lineRule="exact"/>
        <w:rPr>
          <w:rFonts w:ascii="Times New Roman" w:cs="Times New Roman" w:eastAsia="Times New Roman" w:hAnsi="Times New Roman"/>
          <w:sz w:val="18"/>
          <w:szCs w:val="18"/>
          <w:color w:val="auto"/>
        </w:rPr>
      </w:pPr>
    </w:p>
    <w:p>
      <w:pPr>
        <w:ind w:left="760" w:right="800" w:firstLine="1488"/>
        <w:spacing w:after="0" w:line="312" w:lineRule="auto"/>
        <w:tabs>
          <w:tab w:leader="none" w:pos="2948"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for indemnification under indemnification under the Company’s governing documents or any applicable law, and under the terms of any policy of insurance purchased by the Company;</w:t>
      </w:r>
    </w:p>
    <w:p>
      <w:pPr>
        <w:spacing w:after="0" w:line="139" w:lineRule="exact"/>
        <w:rPr>
          <w:rFonts w:ascii="Times New Roman" w:cs="Times New Roman" w:eastAsia="Times New Roman" w:hAnsi="Times New Roman"/>
          <w:sz w:val="17"/>
          <w:szCs w:val="17"/>
          <w:color w:val="auto"/>
        </w:rPr>
      </w:pPr>
    </w:p>
    <w:p>
      <w:pPr>
        <w:ind w:left="760" w:firstLine="1488"/>
        <w:spacing w:after="0" w:line="266" w:lineRule="auto"/>
        <w:tabs>
          <w:tab w:leader="none" w:pos="294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the severance benefits Executive is entitled to receive in exchange for this Release under Section 6[(b/c)] of the Employment Agreement, including any current or future claims for vesting, acceleration of vesting, or any claims Executive may have as a stockholder of the Company; and</w:t>
      </w:r>
    </w:p>
    <w:p>
      <w:pPr>
        <w:spacing w:after="0" w:line="175" w:lineRule="exact"/>
        <w:rPr>
          <w:rFonts w:ascii="Times New Roman" w:cs="Times New Roman" w:eastAsia="Times New Roman" w:hAnsi="Times New Roman"/>
          <w:sz w:val="18"/>
          <w:szCs w:val="18"/>
          <w:color w:val="auto"/>
        </w:rPr>
      </w:pPr>
    </w:p>
    <w:p>
      <w:pPr>
        <w:ind w:left="760" w:firstLine="1488"/>
        <w:spacing w:after="0" w:line="266" w:lineRule="auto"/>
        <w:tabs>
          <w:tab w:leader="none" w:pos="294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right to bring to the attention of the Equal Employment Opportunity Commission claims of discrimination;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Executive does release Executive’s right to secure any damages for alleged discriminatory treatment.</w:t>
      </w:r>
    </w:p>
    <w:p>
      <w:pPr>
        <w:spacing w:after="0" w:line="202" w:lineRule="exact"/>
        <w:rPr>
          <w:rFonts w:ascii="Times New Roman" w:cs="Times New Roman" w:eastAsia="Times New Roman" w:hAnsi="Times New Roman"/>
          <w:sz w:val="18"/>
          <w:szCs w:val="18"/>
          <w:color w:val="auto"/>
        </w:rPr>
      </w:pPr>
    </w:p>
    <w:p>
      <w:pPr>
        <w:ind w:right="280" w:firstLine="1499"/>
        <w:spacing w:after="0" w:line="312" w:lineRule="auto"/>
        <w:tabs>
          <w:tab w:leader="none" w:pos="2193"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ACKNOWLEDGES THAT EXECUTIVE HAS BEEN ADVISED OF AND IS FAMILIAR WITH THE PROVISIONS OF CALIFORNIA CIVIL CODE SECTION 1542, WHICH PROVIDES AS FOLLOWS:</w:t>
      </w:r>
    </w:p>
    <w:p>
      <w:pPr>
        <w:spacing w:after="0" w:line="163" w:lineRule="exact"/>
        <w:rPr>
          <w:sz w:val="20"/>
          <w:szCs w:val="20"/>
          <w:color w:val="auto"/>
        </w:rPr>
      </w:pPr>
    </w:p>
    <w:p>
      <w:pPr>
        <w:ind w:left="740" w:right="20"/>
        <w:spacing w:after="0" w:line="262" w:lineRule="auto"/>
        <w:rPr>
          <w:sz w:val="20"/>
          <w:szCs w:val="20"/>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7" w:lineRule="exact"/>
        <w:rPr>
          <w:sz w:val="20"/>
          <w:szCs w:val="20"/>
          <w:color w:val="auto"/>
        </w:rPr>
      </w:pPr>
    </w:p>
    <w:p>
      <w:pPr>
        <w:ind w:left="740" w:right="300"/>
        <w:spacing w:after="0" w:line="266" w:lineRule="auto"/>
        <w:rPr>
          <w:sz w:val="20"/>
          <w:szCs w:val="20"/>
          <w:color w:val="auto"/>
        </w:rPr>
      </w:pPr>
      <w:r>
        <w:rPr>
          <w:rFonts w:ascii="Times New Roman" w:cs="Times New Roman" w:eastAsia="Times New Roman" w:hAnsi="Times New Roman"/>
          <w:sz w:val="18"/>
          <w:szCs w:val="18"/>
          <w:color w:val="auto"/>
        </w:rPr>
        <w:t>BEING AWARE OF SAID CODE SECTION, EXECUTIVE HEREBY EXPRESSLY WAIVES ANY RIGHTS EXECUTIVE MAY HAVE THEREUNDER, AS WELL AS UNDER ANY OTHER STATUTES OR COMMON LAW PRINCIPLES OF SIMILAR EFFECT.</w:t>
      </w:r>
    </w:p>
    <w:p>
      <w:pPr>
        <w:spacing w:after="0" w:line="203" w:lineRule="exact"/>
        <w:rPr>
          <w:sz w:val="20"/>
          <w:szCs w:val="20"/>
          <w:color w:val="auto"/>
        </w:rPr>
      </w:pPr>
    </w:p>
    <w:p>
      <w:pPr>
        <w:ind w:left="2200" w:hanging="701"/>
        <w:spacing w:after="0"/>
        <w:tabs>
          <w:tab w:leader="none" w:pos="22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Older Workers Benefit Protection Act of 1990, Executive has been advised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w:t>
      </w:r>
    </w:p>
    <w:p>
      <w:pPr>
        <w:spacing w:after="0" w:line="234" w:lineRule="exact"/>
        <w:rPr>
          <w:sz w:val="20"/>
          <w:szCs w:val="20"/>
          <w:color w:val="auto"/>
        </w:rPr>
      </w:pPr>
    </w:p>
    <w:p>
      <w:pPr>
        <w:ind w:left="2940" w:hanging="692"/>
        <w:spacing w:after="0"/>
        <w:tabs>
          <w:tab w:leader="none" w:pos="29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and this Release are written in a manner calculated to be understood by</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Executive;</w:t>
      </w:r>
    </w:p>
    <w:p>
      <w:pPr>
        <w:spacing w:after="0" w:line="234" w:lineRule="exact"/>
        <w:rPr>
          <w:sz w:val="20"/>
          <w:szCs w:val="20"/>
          <w:color w:val="auto"/>
        </w:rPr>
      </w:pPr>
    </w:p>
    <w:p>
      <w:pPr>
        <w:ind w:left="2940" w:hanging="692"/>
        <w:spacing w:after="0"/>
        <w:tabs>
          <w:tab w:leader="none" w:pos="29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the right to consult with an attorney before signing this Release;</w:t>
      </w:r>
    </w:p>
    <w:p>
      <w:pPr>
        <w:spacing w:after="0" w:line="333" w:lineRule="exact"/>
        <w:rPr>
          <w:rFonts w:ascii="Times New Roman" w:cs="Times New Roman" w:eastAsia="Times New Roman" w:hAnsi="Times New Roman"/>
          <w:sz w:val="18"/>
          <w:szCs w:val="18"/>
          <w:color w:val="auto"/>
        </w:rPr>
      </w:pPr>
    </w:p>
    <w:p>
      <w:pPr>
        <w:ind w:left="2940" w:hanging="692"/>
        <w:spacing w:after="0"/>
        <w:tabs>
          <w:tab w:leader="none" w:pos="29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been given at least [21] days to consider this Release;</w:t>
      </w:r>
    </w:p>
    <w:p>
      <w:pPr>
        <w:spacing w:after="0" w:line="2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516255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80"/>
          </w:cols>
          <w:pgMar w:left="1120" w:top="337" w:right="1099" w:bottom="1440" w:gutter="0" w:footer="0" w:header="0"/>
        </w:sectPr>
      </w:pPr>
    </w:p>
    <w:bookmarkStart w:id="116" w:name="page117"/>
    <w:bookmarkEnd w:id="116"/>
    <w:p>
      <w:pPr>
        <w:ind w:left="440" w:right="20" w:firstLine="1488"/>
        <w:spacing w:after="0" w:line="261" w:lineRule="auto"/>
        <w:tabs>
          <w:tab w:leader="none" w:pos="2628" w:val="left"/>
        </w:tabs>
        <w:numPr>
          <w:ilvl w:val="3"/>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seven days after signing this Release to revoke it, and Executive will not receive the severance benefits provided by the Employment Agreement unless and until such seven day period has expired. If Executive wishes to revoke this Release, Executive must deliver notice of Executive’s revocation in writing, no later than 11:59 p.m. Pacific Time on the 7th day following Executive’s execution of this Release to [______].]</w:t>
      </w:r>
    </w:p>
    <w:p>
      <w:pPr>
        <w:spacing w:after="0" w:line="206" w:lineRule="exact"/>
        <w:rPr>
          <w:rFonts w:ascii="Times New Roman" w:cs="Times New Roman" w:eastAsia="Times New Roman" w:hAnsi="Times New Roman"/>
          <w:sz w:val="18"/>
          <w:szCs w:val="18"/>
          <w:color w:val="auto"/>
        </w:rPr>
      </w:pPr>
    </w:p>
    <w:p>
      <w:pPr>
        <w:ind w:left="1180" w:hanging="750"/>
        <w:spacing w:after="0"/>
        <w:tabs>
          <w:tab w:leader="none" w:pos="11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Representations</w:t>
      </w:r>
      <w:r>
        <w:rPr>
          <w:rFonts w:ascii="Times New Roman" w:cs="Times New Roman" w:eastAsia="Times New Roman" w:hAnsi="Times New Roman"/>
          <w:sz w:val="18"/>
          <w:szCs w:val="18"/>
          <w:color w:val="auto"/>
        </w:rPr>
        <w:t>. Executive represents and warrants that:</w:t>
      </w:r>
    </w:p>
    <w:p>
      <w:pPr>
        <w:spacing w:after="0" w:line="252" w:lineRule="exact"/>
        <w:rPr>
          <w:rFonts w:ascii="Times New Roman" w:cs="Times New Roman" w:eastAsia="Times New Roman" w:hAnsi="Times New Roman"/>
          <w:sz w:val="18"/>
          <w:szCs w:val="18"/>
          <w:color w:val="auto"/>
        </w:rPr>
      </w:pPr>
    </w:p>
    <w:p>
      <w:pPr>
        <w:ind w:left="-320" w:right="120" w:firstLine="1499"/>
        <w:spacing w:after="0" w:line="282" w:lineRule="auto"/>
        <w:tabs>
          <w:tab w:leader="none" w:pos="1873"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returned to the Company Property (as defined in the Employment Agreement) which he had in his possession, custody or control at the time he signed this Release;</w:t>
      </w:r>
    </w:p>
    <w:p>
      <w:pPr>
        <w:spacing w:after="0" w:line="161" w:lineRule="exact"/>
        <w:rPr>
          <w:rFonts w:ascii="Times New Roman" w:cs="Times New Roman" w:eastAsia="Times New Roman" w:hAnsi="Times New Roman"/>
          <w:sz w:val="18"/>
          <w:szCs w:val="18"/>
          <w:color w:val="auto"/>
        </w:rPr>
      </w:pPr>
    </w:p>
    <w:p>
      <w:pPr>
        <w:ind w:left="-320" w:right="60" w:firstLine="1499"/>
        <w:spacing w:after="0" w:line="289" w:lineRule="auto"/>
        <w:tabs>
          <w:tab w:leader="none" w:pos="1873" w:val="left"/>
        </w:tabs>
        <w:numPr>
          <w:ilvl w:val="2"/>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herein or in any related agreement, Executive is not aware of any owed wages, commissions, bonuses or other compensation, other than wages through the date of the termination of Executive’s employment, any accrued, unused vacation earned through such date, and any severance payments that become due under the Employment Agreement;</w:t>
      </w:r>
    </w:p>
    <w:p>
      <w:pPr>
        <w:spacing w:after="0" w:line="184" w:lineRule="exact"/>
        <w:rPr>
          <w:rFonts w:ascii="Times New Roman" w:cs="Times New Roman" w:eastAsia="Times New Roman" w:hAnsi="Times New Roman"/>
          <w:sz w:val="17"/>
          <w:szCs w:val="17"/>
          <w:color w:val="auto"/>
        </w:rPr>
      </w:pPr>
    </w:p>
    <w:p>
      <w:pPr>
        <w:ind w:left="-320" w:right="60" w:firstLine="1499"/>
        <w:spacing w:after="0" w:line="266" w:lineRule="auto"/>
        <w:tabs>
          <w:tab w:leader="none" w:pos="1873"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course of Executive’s employment Executive did not sustain any injuries for which Executive might be entitled to compensation pursuant to worker’s compensation law or Executive has disclosed any injuries of which he is currently, reasonably aware for which he might be entitled to compensation pursuant to worker’s compensation law; and</w:t>
      </w:r>
    </w:p>
    <w:p>
      <w:pPr>
        <w:spacing w:after="0" w:line="202" w:lineRule="exact"/>
        <w:rPr>
          <w:rFonts w:ascii="Times New Roman" w:cs="Times New Roman" w:eastAsia="Times New Roman" w:hAnsi="Times New Roman"/>
          <w:sz w:val="18"/>
          <w:szCs w:val="18"/>
          <w:color w:val="auto"/>
        </w:rPr>
      </w:pPr>
    </w:p>
    <w:p>
      <w:pPr>
        <w:ind w:left="-320" w:right="40" w:firstLine="1499"/>
        <w:spacing w:after="0" w:line="282" w:lineRule="auto"/>
        <w:tabs>
          <w:tab w:leader="none" w:pos="1873"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not initiated any adversarial proceedings of any kind against the Company or against any other person or entity released herein, nor will Executive do so in the future, except as specifically allowed by this Release.</w:t>
      </w:r>
    </w:p>
    <w:p>
      <w:pPr>
        <w:spacing w:after="0" w:line="188" w:lineRule="exact"/>
        <w:rPr>
          <w:rFonts w:ascii="Times New Roman" w:cs="Times New Roman" w:eastAsia="Times New Roman" w:hAnsi="Times New Roman"/>
          <w:sz w:val="18"/>
          <w:szCs w:val="18"/>
          <w:color w:val="auto"/>
        </w:rPr>
      </w:pPr>
    </w:p>
    <w:p>
      <w:pPr>
        <w:ind w:left="-340" w:right="220" w:firstLine="710"/>
        <w:spacing w:after="0" w:line="281" w:lineRule="auto"/>
        <w:tabs>
          <w:tab w:leader="none" w:pos="119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Maintaining Confidential Information</w:t>
      </w:r>
      <w:r>
        <w:rPr>
          <w:rFonts w:ascii="Times New Roman" w:cs="Times New Roman" w:eastAsia="Times New Roman" w:hAnsi="Times New Roman"/>
          <w:sz w:val="17"/>
          <w:szCs w:val="17"/>
          <w:color w:val="auto"/>
        </w:rPr>
        <w:t>. Executive reaffirms his obligations under that certain Employee Proprietary Information and Inventions Assignment Agreement entered into between Executive and the Company (the “</w:t>
      </w:r>
      <w:r>
        <w:rPr>
          <w:rFonts w:ascii="Times New Roman" w:cs="Times New Roman" w:eastAsia="Times New Roman" w:hAnsi="Times New Roman"/>
          <w:sz w:val="17"/>
          <w:szCs w:val="17"/>
          <w:b w:val="1"/>
          <w:bCs w:val="1"/>
          <w:i w:val="1"/>
          <w:iCs w:val="1"/>
          <w:color w:val="auto"/>
        </w:rPr>
        <w:t>Confidentiality Agreement</w:t>
      </w:r>
      <w:r>
        <w:rPr>
          <w:rFonts w:ascii="Times New Roman" w:cs="Times New Roman" w:eastAsia="Times New Roman" w:hAnsi="Times New Roman"/>
          <w:sz w:val="17"/>
          <w:szCs w:val="17"/>
          <w:color w:val="auto"/>
        </w:rPr>
        <w:t>”). Executive acknowledges and agrees that the severance benefits provided in the Employment Agreement shall be subject to Executive’s continued compliance with Executive’s obligations under the Confidentiality Agreement.</w:t>
      </w:r>
    </w:p>
    <w:p>
      <w:pPr>
        <w:spacing w:after="0" w:line="191" w:lineRule="exact"/>
        <w:rPr>
          <w:rFonts w:ascii="Times New Roman" w:cs="Times New Roman" w:eastAsia="Times New Roman" w:hAnsi="Times New Roman"/>
          <w:sz w:val="17"/>
          <w:szCs w:val="17"/>
          <w:color w:val="auto"/>
        </w:rPr>
      </w:pPr>
    </w:p>
    <w:p>
      <w:pPr>
        <w:ind w:left="-340" w:firstLine="710"/>
        <w:spacing w:after="0" w:line="252" w:lineRule="auto"/>
        <w:tabs>
          <w:tab w:leader="none" w:pos="11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xml:space="preserve">. The Company agrees that it shall take all reasonable steps necessary to ensure that the Company’s officers and directors will not make statements or representations to any person, firm, or entity, which could reasonably be expected to case Executive in an unfavorable light or which could reasonably be anticipated to adversely affect the name or reputation of Executive. Executive agrees that Executive will not make statements or representations to any person, entity or firm which could reasonably be expected to cast the Company or any entity or employee affiliated with the Company in an unfavorable light or which could reasonably be anticipated to adversely affect the name or reputation of the Company or any entity affiliated with the Company, or the name or reputation of any officer, agent or employee of the Company or of any entity affiliated with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will respond accurately and fully to any question, inquiry or request for information when required by legal process. Notwithstanding the foregoing, nothing in this Section 5 shall prevent Executive from making any truthful statement to the extent (i) necessary to rebut any untrue public statements made about him; (ii) necessary with respect to any litigation, arbitration or mediation involving this Release and the enforcement thereof; or (iii) required by law or by any court, arbitrator, mediator or administrative or legislative body (including any committee thereof) with jurisdiction over such person. In addition, nothing in this Release shall be construed to prohibit Executive from engaging in any lawfully protected activity or conduct, including reporting possible violations of law or regulation to any governmental agency or regulatory body (including but not limited to the Equal Employment Opportunity Commission, the Department of Justice, the Securities and Exchange Commission, the Congress, any agency Inspector General, or making other disclosures that are protected under the whistleblower provisions of federal law or regulation), filing a charge with or participating in any investigation or proceeding conducted by any governmental agency or regulatory body, or making other disclosures that are protected under any law or regulation. Executive does not need the prior authorization of the Company to engage in any such lawfully protected activity, nor is Executive required to notify the other that he or it has done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440" w:top="121" w:right="1099" w:bottom="1440" w:gutter="0" w:footer="0" w:header="0"/>
        </w:sectPr>
      </w:pPr>
    </w:p>
    <w:bookmarkStart w:id="117" w:name="page118"/>
    <w:bookmarkEnd w:id="117"/>
    <w:p>
      <w:pPr>
        <w:ind w:left="1180" w:hanging="810"/>
        <w:spacing w:after="0"/>
        <w:tabs>
          <w:tab w:leader="none" w:pos="11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Executive reaffirms his ongoing cooperation covenant set forth in the Employment Agreement.</w:t>
      </w:r>
    </w:p>
    <w:p>
      <w:pPr>
        <w:spacing w:after="0" w:line="252" w:lineRule="exact"/>
        <w:rPr>
          <w:rFonts w:ascii="Times New Roman" w:cs="Times New Roman" w:eastAsia="Times New Roman" w:hAnsi="Times New Roman"/>
          <w:sz w:val="18"/>
          <w:szCs w:val="18"/>
          <w:color w:val="auto"/>
        </w:rPr>
      </w:pPr>
    </w:p>
    <w:p>
      <w:pPr>
        <w:ind w:left="-340" w:firstLine="710"/>
        <w:spacing w:after="0" w:line="282" w:lineRule="auto"/>
        <w:tabs>
          <w:tab w:leader="none" w:pos="11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Release are severable. If any provision is held to be invalid or unenforceable, it shall not affect the validity or enforceability of any other provision.</w:t>
      </w:r>
    </w:p>
    <w:p>
      <w:pPr>
        <w:spacing w:after="0" w:line="188" w:lineRule="exact"/>
        <w:rPr>
          <w:rFonts w:ascii="Times New Roman" w:cs="Times New Roman" w:eastAsia="Times New Roman" w:hAnsi="Times New Roman"/>
          <w:sz w:val="18"/>
          <w:szCs w:val="18"/>
          <w:color w:val="auto"/>
        </w:rPr>
      </w:pPr>
    </w:p>
    <w:p>
      <w:pPr>
        <w:ind w:left="-340" w:right="140" w:firstLine="710"/>
        <w:spacing w:after="0" w:line="282" w:lineRule="auto"/>
        <w:tabs>
          <w:tab w:leader="none" w:pos="11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Release shall in all respects be governed and construed in accordance with the laws of the State of California, including all matters of construction, validity and performance, without regard to conflicts of law principles.</w:t>
      </w:r>
    </w:p>
    <w:p>
      <w:pPr>
        <w:spacing w:after="0" w:line="188" w:lineRule="exact"/>
        <w:rPr>
          <w:rFonts w:ascii="Times New Roman" w:cs="Times New Roman" w:eastAsia="Times New Roman" w:hAnsi="Times New Roman"/>
          <w:sz w:val="18"/>
          <w:szCs w:val="18"/>
          <w:color w:val="auto"/>
        </w:rPr>
      </w:pPr>
    </w:p>
    <w:p>
      <w:pPr>
        <w:ind w:left="-340" w:right="20" w:firstLine="710"/>
        <w:spacing w:after="0" w:line="258" w:lineRule="auto"/>
        <w:tabs>
          <w:tab w:leader="none" w:pos="11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 Clause</w:t>
      </w:r>
      <w:r>
        <w:rPr>
          <w:rFonts w:ascii="Times New Roman" w:cs="Times New Roman" w:eastAsia="Times New Roman" w:hAnsi="Times New Roman"/>
          <w:sz w:val="18"/>
          <w:szCs w:val="18"/>
          <w:color w:val="auto"/>
        </w:rPr>
        <w:t>. This Release and the severance benefits under the Employment Agreement contain the Parties’ entire agreement with regard to the separation of Executive’s employment, and supersede and replace any prior agreements as to those matters, whether oral or written, except for the Confidentiality Agreement and any equity award agreements. This Release may not be changed or modified, in whole or in part, except by an instrument in writing signed by Executive and a duly authorized officer or director of the Company.</w:t>
      </w:r>
    </w:p>
    <w:p>
      <w:pPr>
        <w:spacing w:after="0" w:line="210" w:lineRule="exact"/>
        <w:rPr>
          <w:rFonts w:ascii="Times New Roman" w:cs="Times New Roman" w:eastAsia="Times New Roman" w:hAnsi="Times New Roman"/>
          <w:sz w:val="18"/>
          <w:szCs w:val="18"/>
          <w:color w:val="auto"/>
        </w:rPr>
      </w:pPr>
    </w:p>
    <w:p>
      <w:pPr>
        <w:ind w:left="-340" w:right="120" w:firstLine="710"/>
        <w:spacing w:after="0" w:line="266" w:lineRule="auto"/>
        <w:tabs>
          <w:tab w:leader="none" w:pos="11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Release may be executed in counterparts with the same force and effectiveness as though executed in a single document. Facsimile or PDF signatures shall have the same force and effectiveness as original signatures.</w:t>
      </w:r>
    </w:p>
    <w:p>
      <w:pPr>
        <w:spacing w:after="0" w:line="202" w:lineRule="exact"/>
        <w:rPr>
          <w:rFonts w:ascii="Times New Roman" w:cs="Times New Roman" w:eastAsia="Times New Roman" w:hAnsi="Times New Roman"/>
          <w:sz w:val="18"/>
          <w:szCs w:val="18"/>
          <w:color w:val="auto"/>
        </w:rPr>
      </w:pPr>
    </w:p>
    <w:p>
      <w:pPr>
        <w:ind w:left="-340" w:right="140" w:firstLine="710"/>
        <w:spacing w:after="0" w:line="282" w:lineRule="auto"/>
        <w:tabs>
          <w:tab w:leader="none" w:pos="11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 to be Bound</w:t>
      </w:r>
      <w:r>
        <w:rPr>
          <w:rFonts w:ascii="Times New Roman" w:cs="Times New Roman" w:eastAsia="Times New Roman" w:hAnsi="Times New Roman"/>
          <w:sz w:val="18"/>
          <w:szCs w:val="18"/>
          <w:color w:val="auto"/>
        </w:rPr>
        <w:t>. The Parties have carefully read this Release in its entirety; fully understand and agree to its terms and provisions; and intend and agree that it is final and binding on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487045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20"/>
          </w:cols>
          <w:pgMar w:left="1440" w:top="121" w:right="11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below.</w:t>
            </w:r>
          </w:p>
        </w:tc>
        <w:tc>
          <w:tcPr>
            <w:tcW w:w="984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 WITNESS WHEREOF, and intending to be legally bound, the Parties have executed the foregoing on the dates shown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AMPLITUDE, INC.</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830"/>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150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80" w:type="dxa"/>
            <w:vAlign w:val="bottom"/>
            <w:tcBorders>
              <w:top w:val="single" w:sz="8" w:color="auto"/>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5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0" w:type="dxa"/>
            <w:vAlign w:val="bottom"/>
          </w:tcPr>
          <w:p>
            <w:pPr>
              <w:spacing w:after="0"/>
              <w:rPr>
                <w:sz w:val="20"/>
                <w:szCs w:val="20"/>
                <w:color w:val="auto"/>
              </w:rPr>
            </w:pPr>
          </w:p>
        </w:tc>
      </w:tr>
      <w:tr>
        <w:trPr>
          <w:trHeight w:val="661"/>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c>
          <w:tcPr>
            <w:tcW w:w="2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Amplitude Holding B.V.</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Amplitude Analytics B.V.</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Amplitude Analytics SAS</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Amplitude Analytics Pte. Ltd.</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Amplitude Analytics Ltd.</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Amplitude Analytics GK</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Amplitude Analytics GmBH</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Amplitude Canada Limited</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Amplitude Analytics Australia Pty Ltd</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20" w:type="dxa"/>
            <w:vAlign w:val="bottom"/>
          </w:tcPr>
          <w:p>
            <w:pPr>
              <w:spacing w:after="0"/>
              <w:rPr>
                <w:sz w:val="20"/>
                <w:szCs w:val="20"/>
                <w:color w:val="auto"/>
              </w:rPr>
            </w:pPr>
          </w:p>
        </w:tc>
      </w:tr>
      <w:tr>
        <w:trPr>
          <w:trHeight w:val="344"/>
        </w:trPr>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Amplitude, Inc.:</w:t>
      </w:r>
    </w:p>
    <w:p>
      <w:pPr>
        <w:spacing w:after="0" w:line="261"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 333-259698 and 333-262813) on Form S-8 of our report dated February 16, 2023, with respect to the consolidated financial statements of Amplitude, Inc. and the effectiveness of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rPr>
          <w:sz w:val="20"/>
          <w:szCs w:val="20"/>
          <w:color w:val="auto"/>
        </w:rPr>
      </w:pPr>
      <w:r>
        <w:rPr>
          <w:rFonts w:ascii="Arial" w:cs="Arial" w:eastAsia="Arial" w:hAnsi="Arial"/>
          <w:sz w:val="18"/>
          <w:szCs w:val="18"/>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Spenser Skates, certify that:</w:t>
      </w:r>
    </w:p>
    <w:p>
      <w:pPr>
        <w:spacing w:after="0" w:line="225"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Amplitude,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February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Hoang Vuong, certify that:</w:t>
      </w:r>
    </w:p>
    <w:p>
      <w:pPr>
        <w:spacing w:after="0" w:line="225"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Amplitude,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February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Hoang Vuong</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Amplitude, Inc. (the “Company”) on Form 10-K for the period ended December 31, 2022, as filed with the Securities and Exchange Commission on the date hereof (the “Report”), I certify, pursuant to 18 U.S.C. § 1350, as adopted pursuant to § 906 of the Sarbanes-Oxley Act of 2002, as amended, that:</w:t>
      </w:r>
    </w:p>
    <w:p>
      <w:pPr>
        <w:spacing w:after="0" w:line="176" w:lineRule="exact"/>
        <w:rPr>
          <w:sz w:val="20"/>
          <w:szCs w:val="20"/>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February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Amplitude, Inc. (the “Company”) on Form 10-K for the period ended December 31, 2022 as filed with the Securities and Exchange Commission on the date hereof (the “Report”), I certify, pursuant to 18 U.S.C. § 1350, as adopted pursuant to § 906 of the Sarbanes-Oxley Act of 2002, as amended, that:</w:t>
      </w:r>
    </w:p>
    <w:p>
      <w:pPr>
        <w:spacing w:after="0" w:line="176" w:lineRule="exact"/>
        <w:rPr>
          <w:sz w:val="20"/>
          <w:szCs w:val="20"/>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February 16,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Hoang Vuong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Hoang Vuong</w:t>
      </w:r>
    </w:p>
    <w:p>
      <w:pPr>
        <w:spacing w:after="0" w:line="23"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1."/>
      <w:numFmt w:val="decimal"/>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lvl w:ilvl="1">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o"/>
      <w:numFmt w:val="bullet"/>
      <w:start w:val="1"/>
    </w:lvl>
  </w:abstractNum>
  <w:abstractNum w:abstractNumId="16">
    <w:nsid w:val="579BE4F1"/>
    <w:multiLevelType w:val="hybridMultilevel"/>
    <w:lvl w:ilvl="0">
      <w:lvlJc w:val="left"/>
      <w:lvlText w:val="o"/>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1)"/>
      <w:numFmt w:val="decimal"/>
      <w:start w:val="1"/>
    </w:lvl>
  </w:abstractNum>
  <w:abstractNum w:abstractNumId="43">
    <w:nsid w:val="11447B73"/>
    <w:multiLevelType w:val="hybridMultilevel"/>
    <w:lvl w:ilvl="0">
      <w:lvlJc w:val="left"/>
      <w:lvlText w:val="(%1)"/>
      <w:numFmt w:val="decimal"/>
      <w:start w:val="1"/>
    </w:lvl>
  </w:abstractNum>
  <w:abstractNum w:abstractNumId="44">
    <w:nsid w:val="42963E5A"/>
    <w:multiLevelType w:val="hybridMultilevel"/>
    <w:lvl w:ilvl="0">
      <w:lvlJc w:val="left"/>
      <w:lvlText w:val="(%1)"/>
      <w:numFmt w:val="decimal"/>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1)"/>
      <w:numFmt w:val="decimal"/>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1)"/>
      <w:numFmt w:val="lowerRoman"/>
      <w:start w:val="1"/>
    </w:lvl>
  </w:abstractNum>
  <w:abstractNum w:abstractNumId="50">
    <w:nsid w:val="4962813B"/>
    <w:multiLevelType w:val="hybridMultilevel"/>
    <w:lvl w:ilvl="0">
      <w:lvlJc w:val="left"/>
      <w:lvlText w:val="(%1)"/>
      <w:numFmt w:val="decimal"/>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1)"/>
      <w:numFmt w:val="lowerRoman"/>
      <w:start w:val="1"/>
    </w:lvl>
  </w:abstractNum>
  <w:abstractNum w:abstractNumId="53">
    <w:nsid w:val="14330624"/>
    <w:multiLevelType w:val="hybridMultilevel"/>
    <w:lvl w:ilvl="0">
      <w:lvlJc w:val="left"/>
      <w:lvlText w:val="(%1)"/>
      <w:numFmt w:val="lowerRoman"/>
      <w:start w:val="2"/>
    </w:lvl>
  </w:abstractNum>
  <w:abstractNum w:abstractNumId="54">
    <w:nsid w:val="7FFFCA11"/>
    <w:multiLevelType w:val="hybridMultilevel"/>
    <w:lvl w:ilvl="0">
      <w:lvlJc w:val="left"/>
      <w:lvlText w:val="(%1)"/>
      <w:numFmt w:val="lowerRoman"/>
      <w:start w:val="3"/>
    </w:lvl>
  </w:abstractNum>
  <w:abstractNum w:abstractNumId="55">
    <w:nsid w:val="1A27709E"/>
    <w:multiLevelType w:val="hybridMultilevel"/>
    <w:lvl w:ilvl="0">
      <w:lvlJc w:val="left"/>
      <w:lvlText w:val="(%1)"/>
      <w:numFmt w:val="lowerRoman"/>
      <w:start w:val="4"/>
    </w:lvl>
  </w:abstractNum>
  <w:abstractNum w:abstractNumId="56">
    <w:nsid w:val="71EA1109"/>
    <w:multiLevelType w:val="hybridMultilevel"/>
    <w:lvl w:ilvl="0">
      <w:lvlJc w:val="left"/>
      <w:lvlText w:val="(%1)"/>
      <w:numFmt w:val="lowerRoman"/>
      <w:start w:val="5"/>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1)"/>
      <w:numFmt w:val="decimal"/>
      <w:start w:val="2"/>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1)"/>
      <w:numFmt w:val="decimal"/>
      <w:start w:val="3"/>
    </w:lvl>
  </w:abstractNum>
  <w:abstractNum w:abstractNumId="61">
    <w:nsid w:val="94211F2"/>
    <w:multiLevelType w:val="hybridMultilevel"/>
    <w:lvl w:ilvl="0">
      <w:lvlJc w:val="left"/>
      <w:lvlText w:val="(%1)"/>
      <w:numFmt w:val="decimal"/>
      <w:start w:val="1"/>
    </w:lvl>
  </w:abstractNum>
  <w:abstractNum w:abstractNumId="62">
    <w:nsid w:val="885E1B"/>
    <w:multiLevelType w:val="hybridMultilevel"/>
    <w:lvl w:ilvl="0">
      <w:lvlJc w:val="left"/>
      <w:lvlText w:val="(%1)"/>
      <w:numFmt w:val="decimal"/>
      <w:start w:val="4"/>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1)"/>
      <w:numFmt w:val="lowerRoman"/>
      <w:start w:val="1"/>
    </w:lvl>
  </w:abstractNum>
  <w:abstractNum w:abstractNumId="65">
    <w:nsid w:val="1716703B"/>
    <w:multiLevelType w:val="hybridMultilevel"/>
    <w:lvl w:ilvl="0">
      <w:lvlJc w:val="left"/>
      <w:lvlText w:val="$"/>
      <w:numFmt w:val="bullet"/>
      <w:start w:val="1"/>
    </w:lvl>
  </w:abstractNum>
  <w:abstractNum w:abstractNumId="66">
    <w:nsid w:val="14E17E33"/>
    <w:multiLevelType w:val="hybridMultilevel"/>
    <w:lvl w:ilvl="0">
      <w:lvlJc w:val="left"/>
      <w:lvlText w:val="$"/>
      <w:numFmt w:val="bullet"/>
      <w:start w:val="1"/>
    </w:lvl>
  </w:abstractNum>
  <w:abstractNum w:abstractNumId="67">
    <w:nsid w:val="3222E7CD"/>
    <w:multiLevelType w:val="hybridMultilevel"/>
    <w:lvl w:ilvl="0">
      <w:lvlJc w:val="left"/>
      <w:lvlText w:val="(%1)"/>
      <w:numFmt w:val="decimal"/>
      <w:start w:val="6"/>
    </w:lvl>
  </w:abstractNum>
  <w:abstractNum w:abstractNumId="68">
    <w:nsid w:val="74DE0EE3"/>
    <w:multiLevelType w:val="hybridMultilevel"/>
    <w:lvl w:ilvl="0">
      <w:lvlJc w:val="left"/>
      <w:lvlText w:val="(%1)"/>
      <w:numFmt w:val="decimal"/>
      <w:start w:val="7"/>
    </w:lvl>
  </w:abstractNum>
  <w:abstractNum w:abstractNumId="69">
    <w:nsid w:val="68EBC550"/>
    <w:multiLevelType w:val="hybridMultilevel"/>
    <w:lvl w:ilvl="0">
      <w:lvlJc w:val="left"/>
      <w:lvlText w:val="(%1)"/>
      <w:numFmt w:val="decimal"/>
      <w:start w:val="9"/>
    </w:lvl>
  </w:abstractNum>
  <w:abstractNum w:abstractNumId="70">
    <w:nsid w:val="2DF6D648"/>
    <w:multiLevelType w:val="hybridMultilevel"/>
    <w:lvl w:ilvl="0">
      <w:lvlJc w:val="left"/>
      <w:lvlText w:val="(%1)"/>
      <w:numFmt w:val="decimal"/>
      <w:start w:val="10"/>
    </w:lvl>
  </w:abstractNum>
  <w:abstractNum w:abstractNumId="71">
    <w:nsid w:val="46B7D447"/>
    <w:multiLevelType w:val="hybridMultilevel"/>
    <w:lvl w:ilvl="0">
      <w:lvlJc w:val="left"/>
      <w:lvlText w:val="(%1)"/>
      <w:numFmt w:val="decimal"/>
      <w:start w:val="11"/>
    </w:lvl>
  </w:abstractNum>
  <w:abstractNum w:abstractNumId="72">
    <w:nsid w:val="4A2AC315"/>
    <w:multiLevelType w:val="hybridMultilevel"/>
    <w:lvl w:ilvl="0">
      <w:lvlJc w:val="left"/>
      <w:lvlText w:val="%1."/>
      <w:numFmt w:val="decimal"/>
      <w:start w:val="1"/>
    </w:lvl>
  </w:abstractNum>
  <w:abstractNum w:abstractNumId="73">
    <w:nsid w:val="39EE015C"/>
    <w:multiLevelType w:val="hybridMultilevel"/>
    <w:lvl w:ilvl="0">
      <w:lvlJc w:val="left"/>
      <w:lvlText w:val="%1."/>
      <w:numFmt w:val="decimal"/>
      <w:start w:val="3"/>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1."/>
      <w:numFmt w:val="decimal"/>
      <w:start w:val="1"/>
    </w:lvl>
    <w:lvl w:ilvl="1">
      <w:lvlJc w:val="left"/>
      <w:lvlText w:val="(%2)"/>
      <w:numFmt w:val="lowerLetter"/>
      <w:start w:val="1"/>
    </w:lvl>
  </w:abstractNum>
  <w:abstractNum w:abstractNumId="76">
    <w:nsid w:val="43F18422"/>
    <w:multiLevelType w:val="hybridMultilevel"/>
    <w:lvl w:ilvl="0">
      <w:lvlJc w:val="left"/>
      <w:lvlText w:val="(%1)"/>
      <w:numFmt w:val="lowerLetter"/>
      <w:start w:val="3"/>
    </w:lvl>
  </w:abstractNum>
  <w:abstractNum w:abstractNumId="77">
    <w:nsid w:val="60EF0119"/>
    <w:multiLevelType w:val="hybridMultilevel"/>
    <w:lvl w:ilvl="0">
      <w:lvlJc w:val="left"/>
      <w:lvlText w:val="(%1)"/>
      <w:numFmt w:val="lowerRoman"/>
      <w:start w:val="3"/>
    </w:lvl>
    <w:lvl w:ilvl="1">
      <w:lvlJc w:val="left"/>
      <w:lvlText w:val="%2."/>
      <w:numFmt w:val="decimal"/>
      <w:start w:val="2"/>
    </w:lvl>
    <w:lvl w:ilvl="2">
      <w:lvlJc w:val="left"/>
      <w:lvlText w:val="%3."/>
      <w:numFmt w:val="decimal"/>
      <w:start w:val="3"/>
    </w:lvl>
  </w:abstractNum>
  <w:abstractNum w:abstractNumId="78">
    <w:nsid w:val="26F324BA"/>
    <w:multiLevelType w:val="hybridMultilevel"/>
    <w:lvl w:ilvl="0">
      <w:lvlJc w:val="left"/>
      <w:lvlText w:val="(%1)"/>
      <w:numFmt w:val="lowerLetter"/>
      <w:start w:val="1"/>
    </w:lvl>
  </w:abstractNum>
  <w:abstractNum w:abstractNumId="79">
    <w:nsid w:val="7F01579B"/>
    <w:multiLevelType w:val="hybridMultilevel"/>
    <w:lvl w:ilvl="0">
      <w:lvlJc w:val="left"/>
      <w:lvlText w:val="%1"/>
      <w:numFmt w:val="decimal"/>
      <w:start w:val="1"/>
    </w:lvl>
    <w:lvl w:ilvl="1">
      <w:lvlJc w:val="left"/>
      <w:lvlText w:val="(%2)"/>
      <w:numFmt w:val="lowerLetter"/>
      <w:start w:val="2"/>
    </w:lvl>
  </w:abstractNum>
  <w:abstractNum w:abstractNumId="80">
    <w:nsid w:val="49DA307D"/>
    <w:multiLevelType w:val="hybridMultilevel"/>
    <w:lvl w:ilvl="0">
      <w:lvlJc w:val="left"/>
      <w:lvlText w:val="%1."/>
      <w:numFmt w:val="decimal"/>
      <w:start w:val="4"/>
    </w:lvl>
    <w:lvl w:ilvl="1">
      <w:lvlJc w:val="left"/>
      <w:lvlText w:val="%2"/>
      <w:numFmt w:val="lowerLetter"/>
      <w:start w:val="1"/>
    </w:lvl>
  </w:abstractNum>
  <w:abstractNum w:abstractNumId="81">
    <w:nsid w:val="7055A5F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2">
    <w:nsid w:val="5FB8370B"/>
    <w:multiLevelType w:val="hybridMultilevel"/>
    <w:lvl w:ilvl="0">
      <w:lvlJc w:val="left"/>
      <w:lvlText w:val="(%1)"/>
      <w:numFmt w:val="lowerLetter"/>
      <w:start w:val="2"/>
    </w:lvl>
    <w:lvl w:ilvl="1">
      <w:lvlJc w:val="left"/>
      <w:lvlText w:val="(%2)"/>
      <w:numFmt w:val="lowerRoman"/>
      <w:start w:val="1"/>
    </w:lvl>
  </w:abstractNum>
  <w:abstractNum w:abstractNumId="83">
    <w:nsid w:val="50801EE1"/>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4">
    <w:nsid w:val="488AC1A"/>
    <w:multiLevelType w:val="hybridMultilevel"/>
    <w:lvl w:ilvl="0">
      <w:lvlJc w:val="left"/>
      <w:lvlText w:val="(%1)"/>
      <w:numFmt w:val="decimal"/>
      <w:start w:val="3"/>
    </w:lvl>
    <w:lvl w:ilvl="1">
      <w:lvlJc w:val="left"/>
      <w:lvlText w:val="(%2)"/>
      <w:numFmt w:val="upperLetter"/>
    </w:lvl>
    <w:lvl w:ilvl="2">
      <w:lvlJc w:val="left"/>
      <w:lvlText w:val="(%3)"/>
      <w:numFmt w:val="lowerRoman"/>
      <w:start w:val="3"/>
    </w:lvl>
  </w:abstractNum>
  <w:abstractNum w:abstractNumId="85">
    <w:nsid w:val="5FB8011C"/>
    <w:multiLevelType w:val="hybridMultilevel"/>
    <w:lvl w:ilvl="0">
      <w:lvlJc w:val="left"/>
      <w:lvlText w:val="(%1)"/>
      <w:numFmt w:val="lowerLetter"/>
      <w:start w:val="4"/>
    </w:lvl>
  </w:abstractNum>
  <w:abstractNum w:abstractNumId="86">
    <w:nsid w:val="6AA78F7F"/>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lowerLetter"/>
      <w:start w:val="8"/>
    </w:lvl>
  </w:abstractNum>
  <w:abstractNum w:abstractNumId="87">
    <w:nsid w:val="7672BD23"/>
    <w:multiLevelType w:val="hybridMultilevel"/>
    <w:lvl w:ilvl="0">
      <w:lvlJc w:val="left"/>
      <w:lvlText w:val="(%1)"/>
      <w:numFmt w:val="lowerLetter"/>
      <w:start w:val="35"/>
    </w:lvl>
    <w:lvl w:ilvl="1">
      <w:lvlJc w:val="left"/>
      <w:lvlText w:val="(%2)"/>
      <w:numFmt w:val="upperLetter"/>
    </w:lvl>
    <w:lvl w:ilvl="2">
      <w:lvlJc w:val="left"/>
      <w:lvlText w:val="%3."/>
      <w:numFmt w:val="decimal"/>
      <w:start w:val="7"/>
    </w:lvl>
    <w:lvl w:ilvl="3">
      <w:lvlJc w:val="left"/>
      <w:lvlText w:val="%4."/>
      <w:numFmt w:val="decimal"/>
      <w:start w:val="8"/>
    </w:lvl>
    <w:lvl w:ilvl="4">
      <w:lvlJc w:val="left"/>
      <w:lvlText w:val="(%5)"/>
      <w:numFmt w:val="lowerLetter"/>
      <w:start w:val="12"/>
    </w:lvl>
  </w:abstractNum>
  <w:abstractNum w:abstractNumId="88">
    <w:nsid w:val="6FC75AF8"/>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decimal"/>
      <w:start w:val="1"/>
    </w:lvl>
    <w:lvl w:ilvl="4">
      <w:lvlJc w:val="left"/>
      <w:lvlText w:val="(%5)"/>
      <w:numFmt w:val="lowerLetter"/>
      <w:start w:val="1"/>
    </w:lvl>
  </w:abstractNum>
  <w:abstractNum w:abstractNumId="89">
    <w:nsid w:val="6A5F7029"/>
    <w:multiLevelType w:val="hybridMultilevel"/>
    <w:lvl w:ilvl="0">
      <w:lvlJc w:val="left"/>
      <w:lvlText w:val="(%1)"/>
      <w:numFmt w:val="lowerLetter"/>
      <w:start w:val="4"/>
    </w:lvl>
  </w:abstractNum>
  <w:abstractNum w:abstractNumId="90">
    <w:nsid w:val="7D5E18F8"/>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Letter"/>
      <w:start w:val="9"/>
    </w:lvl>
    <w:lvl w:ilvl="5">
      <w:lvlJc w:val="left"/>
      <w:lvlText w:val="(%6)"/>
      <w:numFmt w:val="lowerRoman"/>
      <w:start w:val="1"/>
    </w:lvl>
  </w:abstractNum>
  <w:abstractNum w:abstractNumId="91">
    <w:nsid w:val="5F3534A4"/>
    <w:multiLevelType w:val="hybridMultilevel"/>
    <w:lvl w:ilvl="0">
      <w:lvlJc w:val="left"/>
      <w:lvlText w:val="(%1)"/>
      <w:numFmt w:val="lowerLetter"/>
      <w:start w:val="9"/>
    </w:lvl>
    <w:lvl w:ilvl="1">
      <w:lvlJc w:val="left"/>
      <w:lvlText w:val="%2."/>
      <w:numFmt w:val="decimal"/>
      <w:start w:val="9"/>
    </w:lvl>
    <w:lvl w:ilvl="2">
      <w:lvlJc w:val="left"/>
      <w:lvlText w:val="%3."/>
      <w:numFmt w:val="decimal"/>
      <w:start w:val="10"/>
    </w:lvl>
    <w:lvl w:ilvl="3">
      <w:lvlJc w:val="left"/>
      <w:lvlText w:val="%4"/>
      <w:numFmt w:val="lowerRoman"/>
      <w:start w:val="1"/>
    </w:lvl>
    <w:lvl w:ilvl="4">
      <w:lvlJc w:val="left"/>
      <w:lvlText w:val="(%5)"/>
      <w:numFmt w:val="lowerLetter"/>
      <w:start w:val="1"/>
    </w:lvl>
    <w:lvl w:ilvl="5">
      <w:lvlJc w:val="left"/>
      <w:lvlText w:val="%6"/>
      <w:numFmt w:val="lowerRoman"/>
      <w:start w:val="1"/>
    </w:lvl>
  </w:abstractNum>
  <w:abstractNum w:abstractNumId="92">
    <w:nsid w:val="73A1821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93">
    <w:nsid w:val="7DE67713"/>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94">
    <w:nsid w:val="555C55B5"/>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3"/>
    </w:lvl>
  </w:abstractNum>
  <w:abstractNum w:abstractNumId="95">
    <w:nsid w:val="3FA62ACA"/>
    <w:multiLevelType w:val="hybridMultilevel"/>
    <w:lvl w:ilvl="0">
      <w:lvlJc w:val="left"/>
      <w:lvlText w:val="%1"/>
      <w:numFmt w:val="decimal"/>
      <w:start w:val="1"/>
    </w:lvl>
    <w:lvl w:ilvl="1">
      <w:lvlJc w:val="left"/>
      <w:lvlText w:val="(%2)"/>
      <w:numFmt w:val="lowerLetter"/>
      <w:start w:val="4"/>
    </w:lvl>
  </w:abstractNum>
  <w:abstractNum w:abstractNumId="96">
    <w:nsid w:val="14FCE74E"/>
    <w:multiLevelType w:val="hybridMultilevel"/>
    <w:lvl w:ilvl="0">
      <w:lvlJc w:val="left"/>
      <w:lvlText w:val="%1."/>
      <w:numFmt w:val="decimal"/>
      <w:start w:val="12"/>
    </w:lvl>
    <w:lvl w:ilvl="1">
      <w:lvlJc w:val="left"/>
      <w:lvlText w:val="%2"/>
      <w:numFmt w:val="lowerLetter"/>
      <w:start w:val="1"/>
    </w:lvl>
  </w:abstractNum>
  <w:abstractNum w:abstractNumId="97">
    <w:nsid w:val="6A3DD3E8"/>
    <w:multiLevelType w:val="hybridMultilevel"/>
    <w:lvl w:ilvl="0">
      <w:lvlJc w:val="left"/>
      <w:lvlText w:val="%1."/>
      <w:numFmt w:val="decimal"/>
      <w:start w:val="1"/>
    </w:lvl>
    <w:lvl w:ilvl="1">
      <w:lvlJc w:val="left"/>
      <w:lvlText w:val="(%2)"/>
      <w:numFmt w:val="lowerLetter"/>
      <w:start w:val="1"/>
    </w:lvl>
  </w:abstractNum>
  <w:abstractNum w:abstractNumId="98">
    <w:nsid w:val="71C91298"/>
    <w:multiLevelType w:val="hybridMultilevel"/>
    <w:lvl w:ilvl="0">
      <w:lvlJc w:val="left"/>
      <w:lvlText w:val="(%1)"/>
      <w:numFmt w:val="lowerLetter"/>
      <w:start w:val="2"/>
    </w:lvl>
    <w:lvl w:ilvl="1">
      <w:lvlJc w:val="left"/>
      <w:lvlText w:val="(%2)"/>
      <w:numFmt w:val="lowerRoman"/>
      <w:start w:val="1"/>
    </w:lvl>
  </w:abstractNum>
  <w:abstractNum w:abstractNumId="99">
    <w:nsid w:val="9DAF632"/>
    <w:multiLevelType w:val="hybridMultilevel"/>
    <w:lvl w:ilvl="0">
      <w:lvlJc w:val="left"/>
      <w:lvlText w:val="(%1)"/>
      <w:numFmt w:val="lowerLetter"/>
      <w:start w:val="4"/>
    </w:lvl>
  </w:abstractNum>
  <w:abstractNum w:abstractNumId="100">
    <w:nsid w:val="53299938"/>
    <w:multiLevelType w:val="hybridMultilevel"/>
    <w:lvl w:ilvl="0">
      <w:lvlJc w:val="left"/>
      <w:lvlText w:val="(%1)"/>
      <w:numFmt w:val="lowerRoman"/>
      <w:start w:val="1"/>
    </w:lvl>
  </w:abstractNum>
  <w:abstractNum w:abstractNumId="101">
    <w:nsid w:val="1FBFE8E0"/>
    <w:multiLevelType w:val="hybridMultilevel"/>
    <w:lvl w:ilvl="0">
      <w:lvlJc w:val="left"/>
      <w:lvlText w:val="(%1)"/>
      <w:numFmt w:val="lowerRoman"/>
      <w:start w:val="2"/>
    </w:lvl>
  </w:abstractNum>
  <w:abstractNum w:abstractNumId="102">
    <w:nsid w:val="5092CA7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03">
    <w:nsid w:val="1D545C4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104">
    <w:nsid w:val="59ADEA3D"/>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5">
    <w:nsid w:val="288F1A34"/>
    <w:multiLevelType w:val="hybridMultilevel"/>
    <w:lvl w:ilvl="0">
      <w:lvlJc w:val="left"/>
      <w:lvlText w:val="%1."/>
      <w:numFmt w:val="decimal"/>
      <w:start w:val="6"/>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340" Type="http://schemas.openxmlformats.org/officeDocument/2006/relationships/hyperlink" Target="https://www.sec.gov/Archives/edgar/data/1866692/000119312521278308/d93786dex31.htm" TargetMode="External"/><Relationship Id="rId341" Type="http://schemas.openxmlformats.org/officeDocument/2006/relationships/hyperlink" Target="https://www.sec.gov/Archives/edgar/data/1866692/000119312521278308/d93786dex32.htm" TargetMode="External"/><Relationship Id="rId342" Type="http://schemas.openxmlformats.org/officeDocument/2006/relationships/hyperlink" Target="https://www.sec.gov/Archives/edgar/data/1866692/000095017022001372/ampl-ex4_1.htm" TargetMode="External"/><Relationship Id="rId343" Type="http://schemas.openxmlformats.org/officeDocument/2006/relationships/hyperlink" Target="https://www.sec.gov/Archives/edgar/data/1866692/000119312521260696/d143868dex42.htm" TargetMode="External"/><Relationship Id="rId344" Type="http://schemas.openxmlformats.org/officeDocument/2006/relationships/hyperlink" Target="https://www.sec.gov/Archives/edgar/data/1866692/000119312521278407/d114916dex44.htm" TargetMode="External"/><Relationship Id="rId345" Type="http://schemas.openxmlformats.org/officeDocument/2006/relationships/hyperlink" Target="https://www.sec.gov/Archives/edgar/data/1866692/000119312521260696/d143868dex43.htm" TargetMode="External"/><Relationship Id="rId346" Type="http://schemas.openxmlformats.org/officeDocument/2006/relationships/hyperlink" Target="https://www.sec.gov/Archives/edgar/data/1866692/000119312521260696/d143868dex44.htm" TargetMode="External"/><Relationship Id="rId347" Type="http://schemas.openxmlformats.org/officeDocument/2006/relationships/hyperlink" Target="https://www.sec.gov/Archives/edgar/data/1866692/000119312521260696/d143868dex101.htm" TargetMode="External"/><Relationship Id="rId348" Type="http://schemas.openxmlformats.org/officeDocument/2006/relationships/hyperlink" Target="https://www.sec.gov/Archives/edgar/data/1866692/000119312521260696/d143868dex102a.htm" TargetMode="External"/><Relationship Id="rId349" Type="http://schemas.openxmlformats.org/officeDocument/2006/relationships/hyperlink" Target="https://www.sec.gov/Archives/edgar/data/1866692/000119312521260696/d143868dex102b.htm" TargetMode="External"/><Relationship Id="rId350" Type="http://schemas.openxmlformats.org/officeDocument/2006/relationships/hyperlink" Target="https://www.sec.gov/Archives/edgar/data/1866692/000119312521260696/d143868dex103a.htm" TargetMode="External"/><Relationship Id="rId351" Type="http://schemas.openxmlformats.org/officeDocument/2006/relationships/hyperlink" Target="https://www.sec.gov/Archives/edgar/data/1866692/000119312521260696/d143868dex103b.htm" TargetMode="External"/><Relationship Id="rId352" Type="http://schemas.openxmlformats.org/officeDocument/2006/relationships/hyperlink" Target="https://www.sec.gov/Archives/edgar/data/1866692/000119312521260696/d143868dex104.htm" TargetMode="External"/><Relationship Id="rId355" Type="http://schemas.openxmlformats.org/officeDocument/2006/relationships/hyperlink" Target="https://www.sec.gov/Archives/edgar/data/1866692/000119312521260696/d143868dex105.htm" TargetMode="External"/><Relationship Id="rId356" Type="http://schemas.openxmlformats.org/officeDocument/2006/relationships/hyperlink" Target="https://www.sec.gov/Archives/edgar/data/1866692/000119312521260696/d143868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2023-02-16T15:33:21Z</dcterms:created>
  <dcterms:modified xsi:type="dcterms:W3CDTF">2023-02-16T15:33:21Z</dcterms:modified>
</cp:coreProperties>
</file>