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mpl-20230630.htm"/>
      <w:bookmarkStart w:id="1" w:name="ksampl20230630"/>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001-40817</w:t>
      </w:r>
    </w:p>
    <w:p>
      <w:pPr>
        <w:pStyle w:val="TextBody"/>
        <w:pBdr>
          <w:bottom w:val="single" w:sz="4" w:space="1" w:color="000000"/>
        </w:pBdr>
        <w:bidi w:val="0"/>
        <w:spacing w:before="0" w:after="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AMPLITUDE,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45-3937349</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201 Third Street, Suite 200</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San Francisco, California</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94103</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(415) 231-2353</w:t>
      </w:r>
    </w:p>
    <w:p>
      <w:pPr>
        <w:pStyle w:val="TextBody"/>
        <w:bidi w:val="0"/>
        <w:spacing w:before="80" w:after="0"/>
        <w:jc w:val="center"/>
        <w:rPr>
          <w:rFonts w:ascii="Times New Roman" w:hAnsi="Times New Roman"/>
          <w:sz w:val="20"/>
        </w:rPr>
      </w:pPr>
      <w:r>
        <w:rPr>
          <w:rFonts w:ascii="Times New Roman;serif" w:hAnsi="Times New Roman;serif"/>
          <w:b/>
          <w:sz w:val="18"/>
        </w:rPr>
        <w:t>N/A</w:t>
      </w:r>
      <w:r>
        <w:rPr>
          <w:rFonts w:ascii="Times New Roman;serif" w:hAnsi="Times New Roman;serif"/>
          <w:b/>
          <w:sz w:val="20"/>
        </w:rPr>
        <w:br/>
        <w:br/>
      </w:r>
      <w:r>
        <w:rPr>
          <w:rFonts w:ascii="Times New Roman;serif" w:hAnsi="Times New Roman;serif"/>
          <w:b/>
          <w:sz w:val="14"/>
        </w:rPr>
        <w:t>(Former name, former address and former fiscal year, if changed since last report)</w:t>
      </w:r>
      <w:r>
        <w:rPr>
          <w:rFonts w:ascii="Times New Roman;serif" w:hAnsi="Times New Roman;serif"/>
          <w:b/>
          <w:sz w:val="20"/>
        </w:rPr>
        <w:br/>
      </w:r>
      <w:r>
        <w:rPr>
          <w:rFonts w:ascii="Times New Roman" w:hAnsi="Times New Roman"/>
          <w:sz w:val="20"/>
        </w:rPr>
        <w:t> </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425" w:type="dxa"/>
        <w:jc w:val="left"/>
        <w:tblInd w:w="0" w:type="dxa"/>
        <w:tblLayout w:type="fixed"/>
        <w:tblCellMar>
          <w:top w:w="28" w:type="dxa"/>
          <w:left w:w="28" w:type="dxa"/>
          <w:bottom w:w="28" w:type="dxa"/>
          <w:right w:w="28" w:type="dxa"/>
        </w:tblCellMar>
      </w:tblPr>
      <w:tblGrid>
        <w:gridCol w:w="3991"/>
        <w:gridCol w:w="146"/>
        <w:gridCol w:w="826"/>
        <w:gridCol w:w="146"/>
        <w:gridCol w:w="3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99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Class A Common Stock, $0.00001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AMPL</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0"/>
        </w:rPr>
        <w:t xml:space="preserve">☒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As of August 4, 2023, there were 82,408,327</w:t>
      </w:r>
      <w:r>
        <w:rPr>
          <w:rFonts w:ascii="Times New Roman" w:hAnsi="Times New Roman"/>
          <w:sz w:val="20"/>
        </w:rPr>
        <w:t xml:space="preserve"> </w:t>
      </w:r>
      <w:r>
        <w:rPr>
          <w:rFonts w:ascii="Times New Roman;serif" w:hAnsi="Times New Roman;serif"/>
          <w:b w:val="false"/>
          <w:sz w:val="18"/>
        </w:rPr>
        <w:t>shares of the registrant's Class A common stock and 35,557,976</w:t>
      </w:r>
      <w:r>
        <w:rPr>
          <w:rFonts w:ascii="Times New Roman" w:hAnsi="Times New Roman"/>
          <w:sz w:val="20"/>
        </w:rPr>
        <w:t xml:space="preserve"> </w:t>
      </w:r>
      <w:r>
        <w:rPr>
          <w:rFonts w:ascii="Times New Roman;serif" w:hAnsi="Times New Roman;serif"/>
          <w:b w:val="false"/>
          <w:sz w:val="18"/>
        </w:rPr>
        <w:t>shares of the registrant's Class B common stock, each with a $0.00001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1">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balancesheets">
              <w:r>
                <w:rPr>
                  <w:rStyle w:val="InternetLink"/>
                  <w:rFonts w:ascii="Times New Roman;serif" w:hAnsi="Times New Roman;serif"/>
                  <w:b w:val="false"/>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statementsofoperations">
              <w:r>
                <w:rPr>
                  <w:rStyle w:val="InternetLink"/>
                  <w:rFonts w:ascii="Times New Roman;serif" w:hAnsi="Times New Roman;serif"/>
                  <w:b w:val="false"/>
                  <w:sz w:val="20"/>
                  <w:u w:val="single"/>
                </w:rPr>
                <w:t>Condensed 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statementsofequity">
              <w:r>
                <w:rPr>
                  <w:rStyle w:val="InternetLink"/>
                  <w:rFonts w:ascii="Times New Roman;serif" w:hAnsi="Times New Roman;serif"/>
                  <w:b w:val="false"/>
                  <w:sz w:val="20"/>
                  <w:u w:val="single"/>
                </w:rPr>
                <w:t>Condensed Consolidated Statements of Stockholders’ Equity</w:t>
              </w:r>
            </w:hyperlink>
            <w:hyperlink w:anchor="consolidatedstatementsofequity">
              <w:r>
                <w:rPr>
                  <w:rStyle w:val="InternetLink"/>
                  <w:rFonts w:ascii="Times New Roman" w:hAnsi="Times New Roman"/>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8</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statementsofcashflows">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10</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totheconsolidatedfinancial">
              <w:r>
                <w:rPr>
                  <w:rStyle w:val="InternetLink"/>
                  <w:rFonts w:ascii="Times New Roman;serif" w:hAnsi="Times New Roman;serif"/>
                  <w:b w:val="false"/>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other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3">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4">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5">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our revenue, expenses, and other operating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acquire new customers;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increase usage of our Digital Analytics Platform and upsell and cross-sell additional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achieve or sustain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future investments in our business, our anticipated capital expenditures, and our estimates regarding our capital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and success of our sales and marketing efforts, including our ability to grow and maintain our channel partners, and our ability to promote our brand;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effects of public health crises and other global events, such as the ongoing war in Ukraine, on our business and the global economy generally;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reliance on key personnel and our ability to identify, recruit, and retain skilled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anticipated savings or operational efficiencies and charges in connection with our recently announced restructuring plan;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effectively manage our growth, including any international expansion;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protect our intellectual property rights and any costs associated therewith;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compete effectively with existing competitors and new market entrants;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expenses associated with being a public company.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caution you that the foregoing list does not contain all of the forward-looking statements made in this Quarterly Report on Form 10-Q.</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SUMMARY OF RISK FACTORS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limited operating history and have been growing rapidly over the last several years, which makes it difficult to forecast our future results of operations and increases the risk of your investment.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history of losses. As our costs increase, we may not be able to generate sufficient revenue to achieve and sustain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to focus on sales to larger organizations and may become more dependent on those relationships, which may increase the variability of our sales cycle and our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recognize revenue over the term of our customer contracts. Consequently, downturns or upturns in new sales may not be immediately reflected in our results of operations and may be difficult to discern.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Unfavorable conditions in our industry or the global economy, or reductions in software spending, could limit our ability to grow our business and materially adversely affect our business, financial condition,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recent restructuring plan may not result in anticipated savings or operational efficiencies and could result in total costs and expenses that are greater than expected, which could materially adversely affect our business, financial condition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 market for SaaS applications develops more slowly than we expect or declines, our business would be adversely affected.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intellectual property rights may not protect our business or provide us with a competitive advantage, which could have a material adverse effect on our business, financial condition,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government regulation, including import, export control, economic sanctions, trade sanctions, and anti-corruption laws and regulations, which may expose us to liability and increase our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trading price of our Class A common stock has been, and in the future, may be, volatile, and could decline significantly and rapidly.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principal stockholders have the ability to influence the outcome of director elections and other matters requiring stockholder approval.</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 w:name="part_i_financial_info"/>
      <w:bookmarkEnd w:id="2"/>
      <w:r>
        <w:rPr>
          <w:rFonts w:ascii="Times New Roman;serif" w:hAnsi="Times New Roman;serif"/>
          <w:b/>
          <w:sz w:val="20"/>
        </w:rPr>
        <w:t>PART I—FINANCIAL INFORMATION</w:t>
      </w:r>
      <w:r>
        <w:rPr>
          <w:rFonts w:ascii="Times New Roman" w:hAnsi="Times New Roman"/>
          <w:sz w:val="20"/>
        </w:rPr>
        <w:t xml:space="preserve"> </w:t>
      </w:r>
    </w:p>
    <w:p>
      <w:pPr>
        <w:pStyle w:val="TextBody"/>
        <w:bidi w:val="0"/>
        <w:spacing w:before="180" w:after="0"/>
        <w:jc w:val="left"/>
        <w:rPr>
          <w:rFonts w:ascii="Times New Roman;serif" w:hAnsi="Times New Roman;serif"/>
          <w:b/>
          <w:sz w:val="20"/>
        </w:rPr>
      </w:pPr>
      <w:bookmarkStart w:id="3" w:name="i_item1"/>
      <w:bookmarkEnd w:id="3"/>
      <w:r>
        <w:rPr>
          <w:rFonts w:ascii="Times New Roman;serif" w:hAnsi="Times New Roman;serif"/>
          <w:b/>
          <w:sz w:val="20"/>
        </w:rPr>
        <w:t>Item 1. Financial Statements</w:t>
      </w:r>
    </w:p>
    <w:p>
      <w:pPr>
        <w:pStyle w:val="TextBody"/>
        <w:bidi w:val="0"/>
        <w:spacing w:before="240" w:after="0"/>
        <w:jc w:val="center"/>
        <w:rPr>
          <w:rFonts w:ascii="Times New Roman" w:hAnsi="Times New Roman"/>
          <w:sz w:val="20"/>
        </w:rPr>
      </w:pPr>
      <w:r>
        <w:rPr>
          <w:rFonts w:ascii="Times New Roman;serif" w:hAnsi="Times New Roman;serif"/>
          <w:b/>
          <w:sz w:val="20"/>
        </w:rPr>
        <w:t>AMPLITUDE,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consolidatedbalance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per share amounts)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tbl>
      <w:tblPr>
        <w:tblW w:w="8452" w:type="dxa"/>
        <w:jc w:val="left"/>
        <w:tblInd w:w="0" w:type="dxa"/>
        <w:tblLayout w:type="fixed"/>
        <w:tblCellMar>
          <w:top w:w="28" w:type="dxa"/>
          <w:left w:w="28" w:type="dxa"/>
          <w:bottom w:w="28" w:type="dxa"/>
          <w:right w:w="28" w:type="dxa"/>
        </w:tblCellMar>
      </w:tblPr>
      <w:tblGrid>
        <w:gridCol w:w="5251"/>
        <w:gridCol w:w="146"/>
        <w:gridCol w:w="196"/>
        <w:gridCol w:w="751"/>
        <w:gridCol w:w="166"/>
        <w:gridCol w:w="146"/>
        <w:gridCol w:w="245"/>
        <w:gridCol w:w="940"/>
        <w:gridCol w:w="61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w:t>
              <w:br/>
              <w:t xml:space="preserve">June 30, </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As of</w:t>
              <w:br/>
              <w:t xml:space="preserve">December 31, </w:t>
              <w:b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234,363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218,494</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 current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11,971</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8"/>
              </w:rPr>
              <w:t>Accounts receivable, net of allowance for doubtful accounts of $705</w:t>
              <w:br/>
              <w:t>   and $690</w:t>
            </w:r>
            <w:r>
              <w:rPr>
                <w:rFonts w:ascii="Times New Roman" w:hAnsi="Times New Roman"/>
                <w:sz w:val="20"/>
              </w:rPr>
              <w:t> </w:t>
            </w:r>
            <w:r>
              <w:rPr>
                <w:rFonts w:ascii="Times New Roman;serif" w:hAnsi="Times New Roman;serif"/>
                <w:b w:val="false"/>
                <w:sz w:val="18"/>
              </w:rPr>
              <w:t>as of June 30, 2023 and December 31, 2022, respectively</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34,148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22,716</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20,335</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commissions, current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10,918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5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352,689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284,434</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 noncurrent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28,391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71,217</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9,408</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Intangible assets,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2,022</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Goodwill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4,073</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Restricted cash, noncurrent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855</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commissions, noncurrent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25,614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25,799</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9,593</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noncurrent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6,354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5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434,617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413,755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490</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23,687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18,699</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113,491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89,993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5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137,987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109,182</w:t>
            </w:r>
          </w:p>
        </w:tc>
        <w:tc>
          <w:tcPr>
            <w:tcW w:w="611" w:type="dxa"/>
            <w:tcBorders/>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liabilities, noncurrent</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7,093</w:t>
            </w:r>
          </w:p>
        </w:tc>
        <w:tc>
          <w:tcPr>
            <w:tcW w:w="611" w:type="dxa"/>
            <w:tcBorders/>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2,511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5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145,767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118,786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and contingencies (Note 9)</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8"/>
              </w:rPr>
              <w:t>Preferred stock, $0.00001</w:t>
            </w:r>
            <w:r>
              <w:rPr>
                <w:rFonts w:ascii="Times New Roman" w:hAnsi="Times New Roman"/>
                <w:sz w:val="20"/>
              </w:rPr>
              <w:t> </w:t>
            </w:r>
            <w:r>
              <w:rPr>
                <w:rFonts w:ascii="Times New Roman;serif" w:hAnsi="Times New Roman;serif"/>
                <w:b w:val="false"/>
                <w:sz w:val="18"/>
              </w:rPr>
              <w:t>par value per share; 20,000</w:t>
            </w:r>
            <w:r>
              <w:rPr>
                <w:rFonts w:ascii="Times New Roman" w:hAnsi="Times New Roman"/>
                <w:sz w:val="20"/>
              </w:rPr>
              <w:t> </w:t>
            </w:r>
            <w:r>
              <w:rPr>
                <w:rFonts w:ascii="Times New Roman;serif" w:hAnsi="Times New Roman;serif"/>
                <w:b w:val="false"/>
                <w:sz w:val="18"/>
              </w:rPr>
              <w:t xml:space="preserve">shares authorized </w:t>
              <w:br/>
              <w:t>   as of June 30, 2023 and December 31, 2022; zero</w:t>
            </w:r>
            <w:r>
              <w:rPr>
                <w:rFonts w:ascii="Times New Roman" w:hAnsi="Times New Roman"/>
                <w:sz w:val="20"/>
              </w:rPr>
              <w:t> </w:t>
            </w:r>
            <w:r>
              <w:rPr>
                <w:rFonts w:ascii="Times New Roman;serif" w:hAnsi="Times New Roman;serif"/>
                <w:b w:val="false"/>
                <w:sz w:val="18"/>
              </w:rPr>
              <w:t xml:space="preserve">shares issued and </w:t>
              <w:br/>
              <w:t>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8"/>
              </w:rPr>
              <w:t>Class A common stock, $0.00001</w:t>
            </w:r>
            <w:r>
              <w:rPr>
                <w:rFonts w:ascii="Times New Roman" w:hAnsi="Times New Roman"/>
                <w:sz w:val="20"/>
              </w:rPr>
              <w:t> </w:t>
            </w:r>
            <w:r>
              <w:rPr>
                <w:rFonts w:ascii="Times New Roman;serif" w:hAnsi="Times New Roman;serif"/>
                <w:b w:val="false"/>
                <w:sz w:val="18"/>
              </w:rPr>
              <w:t>par value per share; 600,000</w:t>
            </w:r>
            <w:r>
              <w:rPr>
                <w:rFonts w:ascii="Times New Roman" w:hAnsi="Times New Roman"/>
                <w:sz w:val="20"/>
              </w:rPr>
              <w:t> </w:t>
            </w:r>
            <w:r>
              <w:rPr>
                <w:rFonts w:ascii="Times New Roman;serif" w:hAnsi="Times New Roman;serif"/>
                <w:b w:val="false"/>
                <w:sz w:val="18"/>
              </w:rPr>
              <w:t xml:space="preserve">shares </w:t>
              <w:br/>
              <w:t>   authorized as of June 30, 2023 and December 31, 2022, 81,932</w:t>
            </w:r>
            <w:r>
              <w:rPr>
                <w:rFonts w:ascii="Times New Roman" w:hAnsi="Times New Roman"/>
                <w:sz w:val="20"/>
              </w:rPr>
              <w:t> </w:t>
            </w:r>
            <w:r>
              <w:rPr>
                <w:rFonts w:ascii="Times New Roman;serif" w:hAnsi="Times New Roman;serif"/>
                <w:b w:val="false"/>
                <w:sz w:val="18"/>
              </w:rPr>
              <w:t xml:space="preserve">and </w:t>
              <w:br/>
              <w:t>   76,351</w:t>
            </w:r>
            <w:r>
              <w:rPr>
                <w:rFonts w:ascii="Times New Roman" w:hAnsi="Times New Roman"/>
                <w:sz w:val="20"/>
              </w:rPr>
              <w:t> </w:t>
            </w:r>
            <w:r>
              <w:rPr>
                <w:rFonts w:ascii="Times New Roman;serif" w:hAnsi="Times New Roman;serif"/>
                <w:b w:val="false"/>
                <w:sz w:val="18"/>
              </w:rPr>
              <w:t xml:space="preserve">shares issued and outstanding as of June 30, 2023 and </w:t>
              <w:br/>
              <w:t>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611" w:type="dxa"/>
            <w:tcBorders/>
            <w:vAlign w:val="center"/>
          </w:tcPr>
          <w:p>
            <w:pPr>
              <w:pStyle w:val="TableContents"/>
              <w:bidi w:val="0"/>
              <w:spacing w:before="0" w:after="0"/>
              <w:ind w:left="0" w:right="0" w:firstLine="200"/>
              <w:jc w:val="left"/>
              <w:rPr/>
            </w:pPr>
            <w:r>
              <w:rPr/>
              <w:t> </w:t>
            </w:r>
          </w:p>
        </w:tc>
      </w:tr>
      <w:tr>
        <w:trPr/>
        <w:tc>
          <w:tcPr>
            <w:tcW w:w="525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8"/>
              </w:rPr>
              <w:t>Class B common stock, $0.00001</w:t>
            </w:r>
            <w:r>
              <w:rPr>
                <w:rFonts w:ascii="Times New Roman" w:hAnsi="Times New Roman"/>
                <w:sz w:val="20"/>
              </w:rPr>
              <w:t> </w:t>
            </w:r>
            <w:r>
              <w:rPr>
                <w:rFonts w:ascii="Times New Roman;serif" w:hAnsi="Times New Roman;serif"/>
                <w:b w:val="false"/>
                <w:sz w:val="18"/>
              </w:rPr>
              <w:t>par value per share; 600,000</w:t>
              <w:br/>
              <w:t>   shares authorized as of June 30, 2023 and December 31, 2022; 35,558</w:t>
              <w:br/>
              <w:t>   and 37,848</w:t>
            </w:r>
            <w:r>
              <w:rPr>
                <w:rFonts w:ascii="Times New Roman" w:hAnsi="Times New Roman"/>
                <w:sz w:val="20"/>
              </w:rPr>
              <w:t> </w:t>
            </w:r>
            <w:r>
              <w:rPr>
                <w:rFonts w:ascii="Times New Roman;serif" w:hAnsi="Times New Roman;serif"/>
                <w:b w:val="false"/>
                <w:sz w:val="18"/>
              </w:rPr>
              <w:t>shares issued and outstanding as of June 30, 2023 and</w:t>
              <w:br/>
              <w:t>   December 31, 2022,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616,953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568,889</w:t>
            </w:r>
          </w:p>
        </w:tc>
        <w:tc>
          <w:tcPr>
            <w:tcW w:w="611" w:type="dxa"/>
            <w:tcBorders/>
            <w:vAlign w:val="center"/>
          </w:tcPr>
          <w:p>
            <w:pPr>
              <w:pStyle w:val="TableContents"/>
              <w:bidi w:val="0"/>
              <w:spacing w:before="0" w:after="0"/>
              <w:ind w:left="0" w:right="0" w:hanging="0"/>
              <w:jc w:val="left"/>
              <w:rPr/>
            </w:pPr>
            <w:r>
              <w:rPr/>
              <w:t> </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(754</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25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deficit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(327,240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(273,167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25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288,850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294,969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51"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 and stockholders’ equity</w:t>
            </w:r>
          </w:p>
        </w:tc>
        <w:tc>
          <w:tcPr>
            <w:tcW w:w="146" w:type="dxa"/>
            <w:tcBorders/>
            <w:vAlign w:val="center"/>
          </w:tcPr>
          <w:p>
            <w:pPr>
              <w:pStyle w:val="TableContents"/>
              <w:bidi w:val="0"/>
              <w:spacing w:before="0" w:after="0"/>
              <w:ind w:left="0" w:right="0" w:hanging="0"/>
              <w:jc w:val="center"/>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434,617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413,755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5" w:name="fin143868_3"/>
      <w:bookmarkEnd w:id="5"/>
      <w:r>
        <w:rPr>
          <w:rFonts w:ascii="Times New Roman;serif" w:hAnsi="Times New Roman;serif"/>
          <w:b/>
          <w:sz w:val="20"/>
        </w:rPr>
        <w:t>AMPLITUDE,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6" w:name="consolidatedstatementsofoperations"/>
      <w:bookmarkEnd w:id="6"/>
      <w:r>
        <w:rPr>
          <w:rFonts w:ascii="Times New Roman;serif" w:hAnsi="Times New Roman;serif"/>
          <w:b/>
          <w:sz w:val="20"/>
        </w:rPr>
        <w:t>Condensed Consolidated Statements of Operations and Comprehensive Loss</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per share amounts)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111,195</w:t>
            </w:r>
          </w:p>
        </w:tc>
        <w:tc>
          <w:tcPr>
            <w:tcW w:w="591" w:type="dxa"/>
            <w:tcBorders/>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78,072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36,807</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62,265</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25,574</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and other related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124,646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Loss before 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(46,195</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Class A and Class B common stockholders: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computing net loss per share attributable to</w:t>
              <w:br/>
              <w:t>   Class A and Class B common stockholders: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110,297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unrealized gains (losses) on marketable securities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See accompanying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sz w:val="20"/>
        </w:rPr>
        <w:t>AMPLITUDE,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7" w:name="consolidatedstatementsofequity"/>
      <w:bookmarkEnd w:id="7"/>
      <w:r>
        <w:rPr>
          <w:rFonts w:ascii="Times New Roman;serif" w:hAnsi="Times New Roman;serif"/>
          <w:b/>
          <w:sz w:val="20"/>
        </w:rPr>
        <w:t>Condensed Consolidated Statements of Stockholders’ Equity</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939"/>
        <w:gridCol w:w="146"/>
        <w:gridCol w:w="157"/>
        <w:gridCol w:w="631"/>
        <w:gridCol w:w="162"/>
        <w:gridCol w:w="157"/>
        <w:gridCol w:w="259"/>
        <w:gridCol w:w="179"/>
        <w:gridCol w:w="403"/>
        <w:gridCol w:w="146"/>
        <w:gridCol w:w="146"/>
        <w:gridCol w:w="241"/>
        <w:gridCol w:w="149"/>
        <w:gridCol w:w="602"/>
        <w:gridCol w:w="146"/>
        <w:gridCol w:w="146"/>
        <w:gridCol w:w="181"/>
        <w:gridCol w:w="386"/>
        <w:gridCol w:w="996"/>
        <w:gridCol w:w="151"/>
        <w:gridCol w:w="146"/>
        <w:gridCol w:w="241"/>
        <w:gridCol w:w="163"/>
        <w:gridCol w:w="708"/>
        <w:gridCol w:w="151"/>
        <w:gridCol w:w="146"/>
        <w:gridCol w:w="241"/>
        <w:gridCol w:w="175"/>
        <w:gridCol w:w="710"/>
        <w:gridCol w:w="201"/>
      </w:tblGrid>
      <w:tr>
        <w:trPr/>
        <w:tc>
          <w:tcPr>
            <w:tcW w:w="1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93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48"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 and Class B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138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 other 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01" w:type="dxa"/>
            <w:tcBorders/>
            <w:vAlign w:val="center"/>
          </w:tcPr>
          <w:p>
            <w:pPr>
              <w:pStyle w:val="TableContents"/>
              <w:bidi w:val="0"/>
              <w:spacing w:before="0" w:after="0"/>
              <w:ind w:left="0" w:right="0" w:hanging="0"/>
              <w:jc w:val="center"/>
              <w:rPr/>
            </w:pPr>
            <w:r>
              <w:rPr/>
              <w:t> </w:t>
            </w:r>
          </w:p>
        </w:tc>
      </w:tr>
      <w:tr>
        <w:trPr/>
        <w:tc>
          <w:tcPr>
            <w:tcW w:w="193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 </w:t>
            </w:r>
          </w:p>
        </w:tc>
        <w:tc>
          <w:tcPr>
            <w:tcW w:w="259" w:type="dxa"/>
            <w:tcBorders/>
            <w:vAlign w:val="center"/>
          </w:tcPr>
          <w:p>
            <w:pPr>
              <w:pStyle w:val="TableContents"/>
              <w:bidi w:val="0"/>
              <w:spacing w:before="0" w:after="0"/>
              <w:ind w:left="0" w:right="0" w:hanging="0"/>
              <w:jc w:val="center"/>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13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December 31, 2022</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114,199</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568,889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(754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(273,167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294,969</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20,409</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554</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1,687</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early exercised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restricted stock units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875</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Repurchase of unvested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w:t>
            </w:r>
          </w:p>
        </w:tc>
        <w:tc>
          <w:tcPr>
            <w:tcW w:w="162"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(26,315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(26,315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comprehensive income (loss), net</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272</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March 31, 2023</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115,582</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591,183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(299,482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291,220</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22,300</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228</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699</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Issuance of common stock under employee stock purchase plan</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302</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2,564</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early exercised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207</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restricted stock units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1,378</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2"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(27,758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(27,758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comprehensive income (loss), net</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(382</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9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June 30, 2023</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117,490</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616,953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(327,240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288,850</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sz w:val="20"/>
        </w:rPr>
        <w:t>AMPLITUDE,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Consolidated Statements of Stockholders’ Equity</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929"/>
        <w:gridCol w:w="146"/>
        <w:gridCol w:w="157"/>
        <w:gridCol w:w="632"/>
        <w:gridCol w:w="163"/>
        <w:gridCol w:w="157"/>
        <w:gridCol w:w="260"/>
        <w:gridCol w:w="179"/>
        <w:gridCol w:w="403"/>
        <w:gridCol w:w="146"/>
        <w:gridCol w:w="146"/>
        <w:gridCol w:w="241"/>
        <w:gridCol w:w="149"/>
        <w:gridCol w:w="602"/>
        <w:gridCol w:w="146"/>
        <w:gridCol w:w="146"/>
        <w:gridCol w:w="181"/>
        <w:gridCol w:w="413"/>
        <w:gridCol w:w="980"/>
        <w:gridCol w:w="146"/>
        <w:gridCol w:w="146"/>
        <w:gridCol w:w="241"/>
        <w:gridCol w:w="163"/>
        <w:gridCol w:w="708"/>
        <w:gridCol w:w="151"/>
        <w:gridCol w:w="146"/>
        <w:gridCol w:w="241"/>
        <w:gridCol w:w="175"/>
        <w:gridCol w:w="710"/>
        <w:gridCol w:w="202"/>
      </w:tblGrid>
      <w:tr>
        <w:trPr/>
        <w:tc>
          <w:tcPr>
            <w:tcW w:w="1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9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51"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 and Class B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1393"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 other comprehensive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02" w:type="dxa"/>
            <w:tcBorders/>
            <w:vAlign w:val="center"/>
          </w:tcPr>
          <w:p>
            <w:pPr>
              <w:pStyle w:val="TableContents"/>
              <w:bidi w:val="0"/>
              <w:spacing w:before="0" w:after="0"/>
              <w:ind w:left="0" w:right="0" w:hanging="0"/>
              <w:jc w:val="center"/>
              <w:rPr/>
            </w:pPr>
            <w:r>
              <w:rPr/>
              <w:t> </w:t>
            </w:r>
          </w:p>
        </w:tc>
      </w:tr>
      <w:tr>
        <w:trPr/>
        <w:tc>
          <w:tcPr>
            <w:tcW w:w="19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 </w:t>
            </w:r>
          </w:p>
        </w:tc>
        <w:tc>
          <w:tcPr>
            <w:tcW w:w="260" w:type="dxa"/>
            <w:tcBorders/>
            <w:vAlign w:val="center"/>
          </w:tcPr>
          <w:p>
            <w:pPr>
              <w:pStyle w:val="TableContents"/>
              <w:bidi w:val="0"/>
              <w:spacing w:before="0" w:after="0"/>
              <w:ind w:left="0" w:right="0" w:hanging="0"/>
              <w:jc w:val="center"/>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center"/>
              <w:rPr/>
            </w:pPr>
            <w:r>
              <w:rPr/>
              <w:t> </w:t>
            </w:r>
          </w:p>
        </w:tc>
        <w:tc>
          <w:tcPr>
            <w:tcW w:w="13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December 31, 2021</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109,876</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486,354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(179,807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306,548</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13,785</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1,603</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3,977</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early exercised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743</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restricted stock units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Repurchase of unvested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6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Cumulative impact of Topic 842 adoption</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(22,220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(22,220</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March 31, 2022</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111,507</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504,859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(202,011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302,849</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15,155</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329</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1,176</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Issuance of common stock under employee stock purchase plan</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176</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2,553</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early exercised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889</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restricted stock units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286</w:t>
            </w:r>
          </w:p>
        </w:tc>
        <w:tc>
          <w:tcPr>
            <w:tcW w:w="163"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Repurchase of unvested stock options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632"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w:t>
            </w:r>
          </w:p>
        </w:tc>
        <w:tc>
          <w:tcPr>
            <w:tcW w:w="163"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7"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(24,568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(24,568</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at June 30, 2022</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112,294</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righ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524,632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(226,579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14"/>
              </w:rPr>
              <w:t>$</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298,054</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8" w:name="fin143868_5"/>
      <w:bookmarkEnd w:id="8"/>
      <w:r>
        <w:rPr>
          <w:rFonts w:ascii="Times New Roman;serif" w:hAnsi="Times New Roman;serif"/>
          <w:b/>
          <w:sz w:val="20"/>
        </w:rPr>
        <w:t>AMPLITUDE,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9" w:name="consolidatedstatementsofcashflows"/>
      <w:bookmarkEnd w:id="9"/>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0035" w:type="dxa"/>
        <w:jc w:val="left"/>
        <w:tblInd w:w="0" w:type="dxa"/>
        <w:tblLayout w:type="fixed"/>
        <w:tblCellMar>
          <w:top w:w="28" w:type="dxa"/>
          <w:left w:w="28" w:type="dxa"/>
          <w:bottom w:w="28" w:type="dxa"/>
          <w:right w:w="28" w:type="dxa"/>
        </w:tblCellMar>
      </w:tblPr>
      <w:tblGrid>
        <w:gridCol w:w="6436"/>
        <w:gridCol w:w="146"/>
        <w:gridCol w:w="211"/>
        <w:gridCol w:w="781"/>
        <w:gridCol w:w="166"/>
        <w:gridCol w:w="146"/>
        <w:gridCol w:w="211"/>
        <w:gridCol w:w="781"/>
        <w:gridCol w:w="166"/>
        <w:gridCol w:w="99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53"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r>
      <w:tr>
        <w:trPr/>
        <w:tc>
          <w:tcPr>
            <w:tcW w:w="6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1,910</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28,339</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operating lease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1,789</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600"/>
              <w:jc w:val="left"/>
              <w:rPr/>
            </w:pPr>
            <w:r>
              <w:rPr/>
              <w:t> </w:t>
            </w:r>
          </w:p>
        </w:tc>
      </w:tr>
      <w:tr>
        <w:trPr/>
        <w:tc>
          <w:tcPr>
            <w:tcW w:w="643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600"/>
              <w:jc w:val="left"/>
              <w:rPr/>
            </w:pPr>
            <w:r>
              <w:rPr/>
              <w:t> </w:t>
            </w:r>
          </w:p>
        </w:tc>
      </w:tr>
      <w:tr>
        <w:trPr/>
        <w:tc>
          <w:tcPr>
            <w:tcW w:w="643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600"/>
              <w:jc w:val="left"/>
              <w:rPr/>
            </w:pPr>
            <w:r>
              <w:rPr/>
              <w:t> </w:t>
            </w:r>
          </w:p>
        </w:tc>
      </w:tr>
      <w:tr>
        <w:trPr/>
        <w:tc>
          <w:tcPr>
            <w:tcW w:w="643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commissions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600"/>
              <w:jc w:val="left"/>
              <w:rPr/>
            </w:pPr>
            <w:r>
              <w:rPr/>
              <w:t> </w:t>
            </w:r>
          </w:p>
        </w:tc>
      </w:tr>
      <w:tr>
        <w:trPr/>
        <w:tc>
          <w:tcPr>
            <w:tcW w:w="643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1,940</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600"/>
              <w:jc w:val="left"/>
              <w:rPr/>
            </w:pPr>
            <w:r>
              <w:rPr/>
              <w:t> </w:t>
            </w:r>
          </w:p>
        </w:tc>
      </w:tr>
      <w:tr>
        <w:trPr/>
        <w:tc>
          <w:tcPr>
            <w:tcW w:w="643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600"/>
              <w:jc w:val="left"/>
              <w:rPr/>
            </w:pPr>
            <w:r>
              <w:rPr/>
              <w:t> </w:t>
            </w:r>
          </w:p>
        </w:tc>
      </w:tr>
      <w:tr>
        <w:trPr/>
        <w:tc>
          <w:tcPr>
            <w:tcW w:w="643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2,068</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600"/>
              <w:jc w:val="left"/>
              <w:rPr/>
            </w:pPr>
            <w:r>
              <w:rPr/>
              <w:t> </w:t>
            </w:r>
          </w:p>
        </w:tc>
      </w:tr>
      <w:tr>
        <w:trPr/>
        <w:tc>
          <w:tcPr>
            <w:tcW w:w="643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29,073</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600"/>
              <w:jc w:val="left"/>
              <w:rPr/>
            </w:pPr>
            <w:r>
              <w:rPr/>
              <w:t> </w:t>
            </w:r>
          </w:p>
        </w:tc>
      </w:tr>
      <w:tr>
        <w:trPr/>
        <w:tc>
          <w:tcPr>
            <w:tcW w:w="643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800"/>
              <w:jc w:val="left"/>
              <w:rPr/>
            </w:pPr>
            <w:r>
              <w:rPr/>
              <w:t> </w:t>
            </w:r>
          </w:p>
        </w:tc>
      </w:tr>
      <w:tr>
        <w:trPr/>
        <w:tc>
          <w:tcPr>
            <w:tcW w:w="6436"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Capitalization of internal-use software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800"/>
              <w:jc w:val="left"/>
              <w:rPr/>
            </w:pPr>
            <w:r>
              <w:rPr/>
              <w:t> </w:t>
            </w:r>
          </w:p>
        </w:tc>
      </w:tr>
      <w:tr>
        <w:trPr/>
        <w:tc>
          <w:tcPr>
            <w:tcW w:w="6436"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exercise of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5,165</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received for tax withholding obligations on equity</w:t>
              <w:br/>
              <w:t>   award settlements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9,995</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tax withholding obligations on equity award settlements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 of unvested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firstLine="800"/>
              <w:jc w:val="left"/>
              <w:rPr/>
            </w:pPr>
            <w:r>
              <w:rPr/>
              <w:t> </w:t>
            </w:r>
          </w:p>
        </w:tc>
      </w:tr>
      <w:tr>
        <w:trPr/>
        <w:tc>
          <w:tcPr>
            <w:tcW w:w="6436"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800"/>
              <w:jc w:val="left"/>
              <w:rPr/>
            </w:pPr>
            <w:r>
              <w:rPr/>
              <w:t> </w:t>
            </w:r>
          </w:p>
        </w:tc>
      </w:tr>
      <w:tr>
        <w:trPr/>
        <w:tc>
          <w:tcPr>
            <w:tcW w:w="6436"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w:t>
              <w:br/>
              <w:t>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219,349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308,295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235,225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310,875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cash flow information:</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investing and financing activities: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Vesting of early exercised options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liabilities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capitalized as internal-use software costs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16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rFonts w:ascii="Times New Roman" w:hAnsi="Times New Roman"/>
          <w:sz w:val="20"/>
        </w:rPr>
      </w:pPr>
      <w:r>
        <w:rPr>
          <w:rFonts w:ascii="Times New Roman;serif" w:hAnsi="Times New Roman;serif"/>
          <w:b w:val="false"/>
          <w:sz w:val="20"/>
        </w:rPr>
        <w:t>See accompanying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AMPLITUDE,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10" w:name="notestotheconsolidatedfinancial"/>
      <w:bookmarkEnd w:id="10"/>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240" w:after="0"/>
        <w:jc w:val="left"/>
        <w:rPr>
          <w:rFonts w:ascii="Times New Roman" w:hAnsi="Times New Roman"/>
          <w:b/>
          <w:sz w:val="20"/>
        </w:rPr>
      </w:pPr>
      <w:r>
        <w:rPr>
          <w:rFonts w:ascii="Times New Roman" w:hAnsi="Times New Roman"/>
          <w:b/>
          <w:sz w:val="20"/>
        </w:rPr>
        <w:t>(1)</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Summary of Business and Significant Accounting Policies </w:t>
      </w:r>
    </w:p>
    <w:p>
      <w:pPr>
        <w:pStyle w:val="TextBody"/>
        <w:bidi w:val="0"/>
        <w:spacing w:before="120" w:after="0"/>
        <w:jc w:val="left"/>
        <w:rPr>
          <w:rFonts w:ascii="Times New Roman" w:hAnsi="Times New Roman"/>
          <w:sz w:val="20"/>
        </w:rPr>
      </w:pPr>
      <w:r>
        <w:rPr>
          <w:rFonts w:ascii="Times New Roman;serif" w:hAnsi="Times New Roman;serif"/>
          <w:b/>
          <w:i/>
          <w:sz w:val="20"/>
        </w:rPr>
        <w:t>Description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Amplitude, Inc. (the “Company”) was incorporated in the state of Delaware in 2011 and is headquartered in San Francisco, California. The Company provides a Digital Analytics Platform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Segment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 single</w:t>
      </w:r>
      <w:r>
        <w:rPr>
          <w:rFonts w:ascii="Times New Roman" w:hAnsi="Times New Roman"/>
          <w:sz w:val="20"/>
        </w:rPr>
        <w:t xml:space="preserve"> </w:t>
      </w:r>
      <w:r>
        <w:rPr>
          <w:rFonts w:ascii="Times New Roman;serif" w:hAnsi="Times New Roman;serif"/>
          <w:b w:val="false"/>
          <w:sz w:val="20"/>
        </w:rPr>
        <w:t>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Basis of Presentation and Principles of Consolidation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unaudited condensed consolidated balance sheet as of December 31, 2022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These condensed consolidated financial statements should be read in conjunction with the audited consolidated financial statements and notes included in the Company’s Annual Report on Form 10-K for the year ended December 31, 2022 (the “2022 Form 10-K”).</w:t>
      </w:r>
    </w:p>
    <w:p>
      <w:pPr>
        <w:pStyle w:val="TextBody"/>
        <w:bidi w:val="0"/>
        <w:spacing w:before="36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expected period of benefit for deferred commissions;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useful lives of long-lived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valuation of goodwill and intangible assets;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recognition, measurement, and valuation of deferred tax assets and income tax uncertainties;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incremental borrowing rates used for operating leases.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Concentration of Risk and Significant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No customer accounted for 10% or more of total revenue for the three and six months ended June 30, 2023 and 2022. As of the quarter ended June 30, 2023, one customer represented 13% of accounts receivable. As of the year ended December 31, 2022, no customer represented 10% or more of accounts receivable.</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Significant Accounting Policies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significant accounting policies are described in the 2022 Form 10-K. There have been no significant changes to these policies that have had a material impact on the Company’s condensed consolidated financial statements and related notes for the six months ended June 30, 2023.</w:t>
      </w:r>
    </w:p>
    <w:p>
      <w:pPr>
        <w:pStyle w:val="TextBody"/>
        <w:bidi w:val="0"/>
        <w:spacing w:before="360" w:after="0"/>
        <w:jc w:val="left"/>
        <w:rPr>
          <w:rFonts w:ascii="Times New Roman" w:hAnsi="Times New Roman"/>
          <w:b/>
          <w:sz w:val="20"/>
        </w:rPr>
      </w:pPr>
      <w:r>
        <w:rPr>
          <w:rFonts w:ascii="Times New Roman" w:hAnsi="Times New Roman"/>
          <w:b/>
          <w:sz w:val="20"/>
        </w:rPr>
        <w:t>(2)</w:t>
      </w:r>
    </w:p>
    <w:p>
      <w:pPr>
        <w:pStyle w:val="TextBody"/>
        <w:bidi w:val="0"/>
        <w:spacing w:before="360" w:after="283"/>
        <w:jc w:val="left"/>
        <w:rPr>
          <w:rFonts w:ascii="Times New Roman;serif" w:hAnsi="Times New Roman;serif"/>
          <w:b/>
          <w:sz w:val="20"/>
        </w:rPr>
      </w:pPr>
      <w:r>
        <w:rPr>
          <w:rFonts w:ascii="Times New Roman;serif" w:hAnsi="Times New Roman;serif"/>
          <w:b/>
          <w:sz w:val="20"/>
        </w:rPr>
        <w:t>Revenue from Contracts with Customers</w:t>
      </w:r>
    </w:p>
    <w:p>
      <w:pPr>
        <w:pStyle w:val="TextBody"/>
        <w:bidi w:val="0"/>
        <w:spacing w:before="120" w:after="0"/>
        <w:jc w:val="left"/>
        <w:rPr>
          <w:rFonts w:ascii="Times New Roman" w:hAnsi="Times New Roman"/>
          <w:sz w:val="20"/>
        </w:rPr>
      </w:pPr>
      <w:r>
        <w:rPr>
          <w:rFonts w:ascii="Times New Roman;serif" w:hAnsi="Times New Roman;serif"/>
          <w:b/>
          <w:i/>
          <w:sz w:val="20"/>
        </w:rPr>
        <w:t>Deferred Revenue and Remaining Performance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amount of revenue recognized in the six months ended June 30, 2023 that was included in deferred revenue as of December 31, 2022 was $75.6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and December 31, 2022, unrecognized transaction price related to remaining performance obligations was $246.3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$248.2</w:t>
      </w:r>
      <w:r>
        <w:rPr>
          <w:rFonts w:ascii="Times New Roman" w:hAnsi="Times New Roman"/>
          <w:sz w:val="20"/>
        </w:rPr>
        <w:t xml:space="preserve"> </w:t>
      </w:r>
      <w:r>
        <w:rPr>
          <w:rFonts w:ascii="Times New Roman;serif" w:hAnsi="Times New Roman;serif"/>
          <w:b w:val="false"/>
          <w:sz w:val="20"/>
        </w:rPr>
        <w:t xml:space="preserve">million, respectively. The Company’s remaining performance obligations as of June 30, 2023 and December 31, 2022 are expected to be recognized as follows (in thousands): </w:t>
      </w:r>
    </w:p>
    <w:p>
      <w:pPr>
        <w:pStyle w:val="TextBody"/>
        <w:bidi w:val="0"/>
        <w:spacing w:before="0" w:after="0"/>
        <w:jc w:val="left"/>
        <w:rPr/>
      </w:pPr>
      <w:r>
        <w:rPr/>
        <w:t> </w:t>
      </w:r>
    </w:p>
    <w:tbl>
      <w:tblPr>
        <w:tblW w:w="6332"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68"/>
        <w:gridCol w:w="992"/>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b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b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than or equal to 12 months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190,595</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Greater than 12 months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57,581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remaining performance obligations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246,347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248,176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Disaggregation of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shows the Company’s disaggregation of revenue by geographic areas, as determined based on the billing address of its customers (in thousands):</w:t>
      </w:r>
      <w:r>
        <w:rPr>
          <w:rFonts w:ascii="Times New Roman" w:hAnsi="Times New Roman"/>
          <w:sz w:val="20"/>
        </w:rPr>
        <w:t xml:space="preserve"> </w:t>
      </w:r>
    </w:p>
    <w:tbl>
      <w:tblPr>
        <w:tblW w:w="6217" w:type="dxa"/>
        <w:jc w:val="left"/>
        <w:tblInd w:w="0" w:type="dxa"/>
        <w:tblLayout w:type="fixed"/>
        <w:tblCellMar>
          <w:top w:w="28" w:type="dxa"/>
          <w:left w:w="28" w:type="dxa"/>
          <w:bottom w:w="28" w:type="dxa"/>
          <w:right w:w="28" w:type="dxa"/>
        </w:tblCellMar>
      </w:tblPr>
      <w:tblGrid>
        <w:gridCol w:w="1246"/>
        <w:gridCol w:w="146"/>
        <w:gridCol w:w="211"/>
        <w:gridCol w:w="676"/>
        <w:gridCol w:w="146"/>
        <w:gridCol w:w="146"/>
        <w:gridCol w:w="211"/>
        <w:gridCol w:w="676"/>
        <w:gridCol w:w="146"/>
        <w:gridCol w:w="146"/>
        <w:gridCol w:w="211"/>
        <w:gridCol w:w="781"/>
        <w:gridCol w:w="146"/>
        <w:gridCol w:w="146"/>
        <w:gridCol w:w="211"/>
        <w:gridCol w:w="78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191" w:type="dxa"/>
            <w:tcBorders/>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68,996</w:t>
            </w:r>
          </w:p>
        </w:tc>
        <w:tc>
          <w:tcPr>
            <w:tcW w:w="19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42,199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111,195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Deferred Commissions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Commissions paid upon the initial acquisition of a contract are deferred and then amortized on a straight-line basis over a period of benefit, determined to be five years. The following table represents a roll forward of the Company’s deferred commissions for the three and six months ended June 30, 2023 and 2022 (in thousands): </w:t>
      </w:r>
    </w:p>
    <w:tbl>
      <w:tblPr>
        <w:tblW w:w="8562" w:type="dxa"/>
        <w:jc w:val="left"/>
        <w:tblInd w:w="0" w:type="dxa"/>
        <w:tblLayout w:type="fixed"/>
        <w:tblCellMar>
          <w:top w:w="28" w:type="dxa"/>
          <w:left w:w="28" w:type="dxa"/>
          <w:bottom w:w="28" w:type="dxa"/>
          <w:right w:w="28" w:type="dxa"/>
        </w:tblCellMar>
      </w:tblPr>
      <w:tblGrid>
        <w:gridCol w:w="3721"/>
        <w:gridCol w:w="146"/>
        <w:gridCol w:w="211"/>
        <w:gridCol w:w="676"/>
        <w:gridCol w:w="166"/>
        <w:gridCol w:w="146"/>
        <w:gridCol w:w="211"/>
        <w:gridCol w:w="676"/>
        <w:gridCol w:w="166"/>
        <w:gridCol w:w="146"/>
        <w:gridCol w:w="211"/>
        <w:gridCol w:w="676"/>
        <w:gridCol w:w="166"/>
        <w:gridCol w:w="146"/>
        <w:gridCol w:w="211"/>
        <w:gridCol w:w="676"/>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8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211" w:type="dxa"/>
            <w:tcBorders/>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28,685</w:t>
            </w:r>
          </w:p>
        </w:tc>
        <w:tc>
          <w:tcPr>
            <w:tcW w:w="21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to deferred commissions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9,257</w:t>
            </w:r>
          </w:p>
        </w:tc>
        <w:tc>
          <w:tcPr>
            <w:tcW w:w="21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commissions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33,580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commissions, current portion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9,703</w:t>
            </w:r>
          </w:p>
        </w:tc>
        <w:tc>
          <w:tcPr>
            <w:tcW w:w="21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commissions, net of current portion</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commissions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33,580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(3)</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Balance Sheet Components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tables show the Company’s financial statement details as of June 30, 2023 and December 31, 2022.</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Cash, Cash Equivalents and Restricted Cash</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represents the Company's cash, cash equivalents, and restricted cash at each period end (in thousands):</w:t>
      </w:r>
      <w:r>
        <w:rPr>
          <w:rFonts w:ascii="Times New Roman" w:hAnsi="Times New Roman"/>
          <w:sz w:val="20"/>
        </w:rPr>
        <w:t xml:space="preserve"> </w:t>
      </w:r>
    </w:p>
    <w:p>
      <w:pPr>
        <w:pStyle w:val="TextBody"/>
        <w:bidi w:val="0"/>
        <w:spacing w:before="0" w:after="0"/>
        <w:jc w:val="left"/>
        <w:rPr/>
      </w:pPr>
      <w:r>
        <w:rPr/>
        <w:t> </w:t>
      </w:r>
    </w:p>
    <w:tbl>
      <w:tblPr>
        <w:tblW w:w="9172" w:type="dxa"/>
        <w:jc w:val="left"/>
        <w:tblInd w:w="0" w:type="dxa"/>
        <w:tblLayout w:type="fixed"/>
        <w:tblCellMar>
          <w:top w:w="28" w:type="dxa"/>
          <w:left w:w="28" w:type="dxa"/>
          <w:bottom w:w="28" w:type="dxa"/>
          <w:right w:w="28" w:type="dxa"/>
        </w:tblCellMar>
      </w:tblPr>
      <w:tblGrid>
        <w:gridCol w:w="3991"/>
        <w:gridCol w:w="146"/>
        <w:gridCol w:w="211"/>
        <w:gridCol w:w="781"/>
        <w:gridCol w:w="146"/>
        <w:gridCol w:w="146"/>
        <w:gridCol w:w="211"/>
        <w:gridCol w:w="781"/>
        <w:gridCol w:w="146"/>
        <w:gridCol w:w="146"/>
        <w:gridCol w:w="211"/>
        <w:gridCol w:w="781"/>
        <w:gridCol w:w="146"/>
        <w:gridCol w:w="146"/>
        <w:gridCol w:w="211"/>
        <w:gridCol w:w="78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December 31,</w:t>
            </w:r>
          </w:p>
        </w:tc>
        <w:tc>
          <w:tcPr>
            <w:tcW w:w="191" w:type="dxa"/>
            <w:tcBorders/>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307,445</w:t>
            </w:r>
          </w:p>
        </w:tc>
        <w:tc>
          <w:tcPr>
            <w:tcW w:w="1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noncurrent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235,225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310,875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219,349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308,295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Prepaid Expenses and Other Current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Prepaid expenses and other current assets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220" w:type="dxa"/>
        <w:jc w:val="left"/>
        <w:tblInd w:w="0" w:type="dxa"/>
        <w:tblLayout w:type="fixed"/>
        <w:tblCellMar>
          <w:top w:w="28" w:type="dxa"/>
          <w:left w:w="28" w:type="dxa"/>
          <w:bottom w:w="28" w:type="dxa"/>
          <w:right w:w="28" w:type="dxa"/>
        </w:tblCellMar>
      </w:tblPr>
      <w:tblGrid>
        <w:gridCol w:w="3856"/>
        <w:gridCol w:w="146"/>
        <w:gridCol w:w="303"/>
        <w:gridCol w:w="972"/>
        <w:gridCol w:w="146"/>
        <w:gridCol w:w="146"/>
        <w:gridCol w:w="299"/>
        <w:gridCol w:w="96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As of </w:t>
              <w:br/>
              <w:t>December 31,</w:t>
            </w:r>
          </w:p>
        </w:tc>
        <w:tc>
          <w:tcPr>
            <w:tcW w:w="391" w:type="dxa"/>
            <w:tcBorders/>
            <w:vAlign w:val="center"/>
          </w:tcPr>
          <w:p>
            <w:pPr>
              <w:pStyle w:val="TableContents"/>
              <w:bidi w:val="0"/>
              <w:spacing w:before="0" w:after="0"/>
              <w:ind w:left="0" w:right="0" w:hanging="0"/>
              <w:jc w:val="center"/>
              <w:rPr/>
            </w:pPr>
            <w:r>
              <w:rPr/>
              <w:t> </w:t>
            </w:r>
          </w:p>
        </w:tc>
      </w:tr>
      <w:tr>
        <w:trPr/>
        <w:tc>
          <w:tcPr>
            <w:tcW w:w="3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hosting</w:t>
            </w:r>
          </w:p>
        </w:tc>
        <w:tc>
          <w:tcPr>
            <w:tcW w:w="146" w:type="dxa"/>
            <w:tcBorders/>
            <w:vAlign w:val="center"/>
          </w:tcPr>
          <w:p>
            <w:pPr>
              <w:pStyle w:val="TableContents"/>
              <w:bidi w:val="0"/>
              <w:spacing w:before="0" w:after="0"/>
              <w:ind w:left="0" w:right="0" w:hanging="0"/>
              <w:jc w:val="righ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9,759</w:t>
            </w:r>
          </w:p>
        </w:tc>
        <w:tc>
          <w:tcPr>
            <w:tcW w:w="391" w:type="dxa"/>
            <w:tcBorders/>
            <w:vAlign w:val="center"/>
          </w:tcPr>
          <w:p>
            <w:pPr>
              <w:pStyle w:val="TableContents"/>
              <w:bidi w:val="0"/>
              <w:spacing w:before="0" w:after="0"/>
              <w:ind w:left="0" w:right="0" w:hanging="0"/>
              <w:jc w:val="left"/>
              <w:rPr/>
            </w:pPr>
            <w:r>
              <w:rPr/>
              <w:t> </w:t>
            </w:r>
          </w:p>
        </w:tc>
      </w:tr>
      <w:tr>
        <w:trPr/>
        <w:tc>
          <w:tcPr>
            <w:tcW w:w="38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prepaid expenses and other assets</w:t>
            </w:r>
          </w:p>
        </w:tc>
        <w:tc>
          <w:tcPr>
            <w:tcW w:w="146" w:type="dxa"/>
            <w:tcBorders/>
            <w:vAlign w:val="center"/>
          </w:tcPr>
          <w:p>
            <w:pPr>
              <w:pStyle w:val="TableContents"/>
              <w:bidi w:val="0"/>
              <w:spacing w:before="0" w:after="0"/>
              <w:ind w:left="0" w:right="0" w:hanging="0"/>
              <w:jc w:val="righ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8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prepaid expense and other current assets</w:t>
            </w:r>
          </w:p>
        </w:tc>
        <w:tc>
          <w:tcPr>
            <w:tcW w:w="146" w:type="dxa"/>
            <w:tcBorders/>
            <w:vAlign w:val="center"/>
          </w:tcPr>
          <w:p>
            <w:pPr>
              <w:pStyle w:val="TableContents"/>
              <w:bidi w:val="0"/>
              <w:spacing w:before="0" w:after="0"/>
              <w:ind w:left="0" w:right="0" w:hanging="0"/>
              <w:jc w:val="righ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20,335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Accrued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Accrued expenses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505" w:type="dxa"/>
        <w:jc w:val="left"/>
        <w:tblInd w:w="0" w:type="dxa"/>
        <w:tblLayout w:type="fixed"/>
        <w:tblCellMar>
          <w:top w:w="28" w:type="dxa"/>
          <w:left w:w="28" w:type="dxa"/>
          <w:bottom w:w="28" w:type="dxa"/>
          <w:right w:w="28" w:type="dxa"/>
        </w:tblCellMar>
      </w:tblPr>
      <w:tblGrid>
        <w:gridCol w:w="4141"/>
        <w:gridCol w:w="146"/>
        <w:gridCol w:w="303"/>
        <w:gridCol w:w="972"/>
        <w:gridCol w:w="146"/>
        <w:gridCol w:w="146"/>
        <w:gridCol w:w="299"/>
        <w:gridCol w:w="961"/>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As of </w:t>
              <w:br/>
              <w:t>December 31,</w:t>
            </w:r>
          </w:p>
        </w:tc>
        <w:tc>
          <w:tcPr>
            <w:tcW w:w="391" w:type="dxa"/>
            <w:tcBorders/>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commission</w:t>
            </w:r>
          </w:p>
        </w:tc>
        <w:tc>
          <w:tcPr>
            <w:tcW w:w="146" w:type="dxa"/>
            <w:tcBorders/>
            <w:vAlign w:val="center"/>
          </w:tcPr>
          <w:p>
            <w:pPr>
              <w:pStyle w:val="TableContents"/>
              <w:bidi w:val="0"/>
              <w:spacing w:before="0" w:after="0"/>
              <w:ind w:left="0" w:right="0" w:hanging="0"/>
              <w:jc w:val="righ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4,494</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employee related taxes</w:t>
            </w:r>
          </w:p>
        </w:tc>
        <w:tc>
          <w:tcPr>
            <w:tcW w:w="146" w:type="dxa"/>
            <w:tcBorders/>
            <w:vAlign w:val="center"/>
          </w:tcPr>
          <w:p>
            <w:pPr>
              <w:pStyle w:val="TableContents"/>
              <w:bidi w:val="0"/>
              <w:spacing w:before="0" w:after="0"/>
              <w:ind w:left="0" w:right="0" w:hanging="0"/>
              <w:jc w:val="righ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1,580</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restructuring and other related charges</w:t>
            </w:r>
          </w:p>
        </w:tc>
        <w:tc>
          <w:tcPr>
            <w:tcW w:w="146" w:type="dxa"/>
            <w:tcBorders/>
            <w:vAlign w:val="center"/>
          </w:tcPr>
          <w:p>
            <w:pPr>
              <w:pStyle w:val="TableContents"/>
              <w:bidi w:val="0"/>
              <w:spacing w:before="0" w:after="0"/>
              <w:ind w:left="0" w:right="0" w:hanging="0"/>
              <w:jc w:val="righ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sales tax</w:t>
            </w:r>
          </w:p>
        </w:tc>
        <w:tc>
          <w:tcPr>
            <w:tcW w:w="146" w:type="dxa"/>
            <w:tcBorders/>
            <w:vAlign w:val="center"/>
          </w:tcPr>
          <w:p>
            <w:pPr>
              <w:pStyle w:val="TableContents"/>
              <w:bidi w:val="0"/>
              <w:spacing w:before="0" w:after="0"/>
              <w:ind w:left="0" w:right="0" w:hanging="0"/>
              <w:jc w:val="righ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from early exercised stock options</w:t>
            </w:r>
          </w:p>
        </w:tc>
        <w:tc>
          <w:tcPr>
            <w:tcW w:w="146" w:type="dxa"/>
            <w:tcBorders/>
            <w:vAlign w:val="center"/>
          </w:tcPr>
          <w:p>
            <w:pPr>
              <w:pStyle w:val="TableContents"/>
              <w:bidi w:val="0"/>
              <w:spacing w:before="0" w:after="0"/>
              <w:ind w:left="0" w:right="0" w:hanging="0"/>
              <w:jc w:val="righ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1,382</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2021 Employee Stock Purchase Plan withholding</w:t>
            </w:r>
          </w:p>
        </w:tc>
        <w:tc>
          <w:tcPr>
            <w:tcW w:w="146" w:type="dxa"/>
            <w:tcBorders/>
            <w:vAlign w:val="center"/>
          </w:tcPr>
          <w:p>
            <w:pPr>
              <w:pStyle w:val="TableContents"/>
              <w:bidi w:val="0"/>
              <w:spacing w:before="0" w:after="0"/>
              <w:ind w:left="0" w:right="0" w:hanging="0"/>
              <w:jc w:val="righ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righ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3,997</w:t>
            </w:r>
          </w:p>
        </w:tc>
        <w:tc>
          <w:tcPr>
            <w:tcW w:w="3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liabilities</w:t>
            </w:r>
          </w:p>
        </w:tc>
        <w:tc>
          <w:tcPr>
            <w:tcW w:w="146" w:type="dxa"/>
            <w:tcBorders/>
            <w:vAlign w:val="center"/>
          </w:tcPr>
          <w:p>
            <w:pPr>
              <w:pStyle w:val="TableContents"/>
              <w:bidi w:val="0"/>
              <w:spacing w:before="0" w:after="0"/>
              <w:ind w:left="0" w:right="0" w:hanging="0"/>
              <w:jc w:val="righ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46" w:type="dxa"/>
            <w:tcBorders/>
            <w:vAlign w:val="center"/>
          </w:tcPr>
          <w:p>
            <w:pPr>
              <w:pStyle w:val="TableContents"/>
              <w:bidi w:val="0"/>
              <w:spacing w:before="0" w:after="0"/>
              <w:ind w:left="0" w:right="0" w:hanging="0"/>
              <w:jc w:val="righ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(4)</w:t>
      </w:r>
    </w:p>
    <w:p>
      <w:pPr>
        <w:pStyle w:val="TextBody"/>
        <w:bidi w:val="0"/>
        <w:spacing w:before="120" w:after="283"/>
        <w:jc w:val="left"/>
        <w:rPr>
          <w:rFonts w:ascii="Times New Roman;serif" w:hAnsi="Times New Roman;serif"/>
          <w:b/>
          <w:sz w:val="20"/>
        </w:rPr>
      </w:pPr>
      <w:r>
        <w:rPr>
          <w:rFonts w:ascii="Times New Roman;serif" w:hAnsi="Times New Roman;serif"/>
          <w:b/>
          <w:sz w:val="20"/>
        </w:rPr>
        <w:t>Fair Value Measurements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summarizes, for financial assets measured at fair value, the respective fair value and classification by level of input within the fair value hierarchy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19"/>
        <w:gridCol w:w="146"/>
        <w:gridCol w:w="211"/>
        <w:gridCol w:w="181"/>
        <w:gridCol w:w="971"/>
        <w:gridCol w:w="146"/>
        <w:gridCol w:w="146"/>
        <w:gridCol w:w="211"/>
        <w:gridCol w:w="457"/>
        <w:gridCol w:w="1089"/>
        <w:gridCol w:w="146"/>
        <w:gridCol w:w="146"/>
        <w:gridCol w:w="211"/>
        <w:gridCol w:w="364"/>
        <w:gridCol w:w="1203"/>
        <w:gridCol w:w="166"/>
        <w:gridCol w:w="146"/>
        <w:gridCol w:w="211"/>
        <w:gridCol w:w="227"/>
        <w:gridCol w:w="1214"/>
        <w:gridCol w:w="194"/>
      </w:tblGrid>
      <w:tr>
        <w:trPr/>
        <w:tc>
          <w:tcPr>
            <w:tcW w:w="2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1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5" w:type="dxa"/>
            <w:gridSpan w:val="1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 2023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 Fair Value</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6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41"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r>
      <w:tr>
        <w:trPr/>
        <w:tc>
          <w:tcPr>
            <w:tcW w:w="241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Cash equivalents</w:t>
            </w:r>
            <w:r>
              <w:rPr>
                <w:rFonts w:ascii="Times New Roman;serif" w:hAnsi="Times New Roman;serif"/>
                <w:b/>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6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41"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r>
      <w:tr>
        <w:trPr/>
        <w:tc>
          <w:tcPr>
            <w:tcW w:w="241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7"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4"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vAlign w:val="center"/>
          </w:tcPr>
          <w:p>
            <w:pPr>
              <w:pStyle w:val="TableContents"/>
              <w:bidi w:val="0"/>
              <w:spacing w:before="0" w:after="0"/>
              <w:ind w:left="0" w:right="0" w:hanging="0"/>
              <w:jc w:val="left"/>
              <w:rPr/>
            </w:pPr>
            <w:r>
              <w:rPr/>
              <w:t> </w:t>
            </w:r>
          </w:p>
        </w:tc>
        <w:tc>
          <w:tcPr>
            <w:tcW w:w="12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193,779</w:t>
            </w:r>
          </w:p>
        </w:tc>
        <w:tc>
          <w:tcPr>
            <w:tcW w:w="194" w:type="dxa"/>
            <w:tcBorders/>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5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41" w:type="dxa"/>
            <w:gridSpan w:val="2"/>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5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41" w:type="dxa"/>
            <w:gridSpan w:val="2"/>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U.S. governmental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85,256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84,392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279,035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278,171</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19"/>
        <w:gridCol w:w="146"/>
        <w:gridCol w:w="211"/>
        <w:gridCol w:w="181"/>
        <w:gridCol w:w="971"/>
        <w:gridCol w:w="146"/>
        <w:gridCol w:w="146"/>
        <w:gridCol w:w="211"/>
        <w:gridCol w:w="457"/>
        <w:gridCol w:w="1089"/>
        <w:gridCol w:w="146"/>
        <w:gridCol w:w="146"/>
        <w:gridCol w:w="211"/>
        <w:gridCol w:w="364"/>
        <w:gridCol w:w="1203"/>
        <w:gridCol w:w="166"/>
        <w:gridCol w:w="146"/>
        <w:gridCol w:w="211"/>
        <w:gridCol w:w="227"/>
        <w:gridCol w:w="1214"/>
        <w:gridCol w:w="194"/>
      </w:tblGrid>
      <w:tr>
        <w:trPr/>
        <w:tc>
          <w:tcPr>
            <w:tcW w:w="2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1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5" w:type="dxa"/>
            <w:gridSpan w:val="1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201" w:type="dxa"/>
            <w:gridSpan w:val="7"/>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15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54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 Fair Value</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Level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6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41"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r>
      <w:tr>
        <w:trPr/>
        <w:tc>
          <w:tcPr>
            <w:tcW w:w="241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Cash equivalents</w:t>
            </w:r>
            <w:r>
              <w:rPr>
                <w:rFonts w:ascii="Times New Roman;serif" w:hAnsi="Times New Roman;serif"/>
                <w:b/>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6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41"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r>
      <w:tr>
        <w:trPr/>
        <w:tc>
          <w:tcPr>
            <w:tcW w:w="241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7"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4" w:type="dxa"/>
            <w:tcBorders/>
            <w:vAlign w:val="center"/>
          </w:tcPr>
          <w:p>
            <w:pPr>
              <w:pStyle w:val="TableContents"/>
              <w:bidi w:val="0"/>
              <w:spacing w:before="0" w:after="0"/>
              <w:ind w:left="0" w:right="0" w:hanging="0"/>
              <w:jc w:val="left"/>
              <w:rPr/>
            </w:pPr>
            <w:r>
              <w:rPr/>
              <w:t> </w:t>
            </w:r>
          </w:p>
        </w:tc>
        <w:tc>
          <w:tcPr>
            <w:tcW w:w="12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vAlign w:val="center"/>
          </w:tcPr>
          <w:p>
            <w:pPr>
              <w:pStyle w:val="TableContents"/>
              <w:bidi w:val="0"/>
              <w:spacing w:before="0" w:after="0"/>
              <w:ind w:left="0" w:right="0" w:hanging="0"/>
              <w:jc w:val="left"/>
              <w:rPr/>
            </w:pPr>
            <w:r>
              <w:rPr/>
              <w:t> </w:t>
            </w:r>
          </w:p>
        </w:tc>
        <w:tc>
          <w:tcPr>
            <w:tcW w:w="12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168,730</w:t>
            </w:r>
          </w:p>
        </w:tc>
        <w:tc>
          <w:tcPr>
            <w:tcW w:w="194" w:type="dxa"/>
            <w:tcBorders/>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Level 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5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41" w:type="dxa"/>
            <w:gridSpan w:val="2"/>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5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15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41" w:type="dxa"/>
            <w:gridSpan w:val="2"/>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U.S. governmental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83,188</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252,672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251,918</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jc w:val="left"/>
        <w:rPr>
          <w:rFonts w:ascii="Times New Roman;serif" w:hAnsi="Times New Roman;serif"/>
          <w:sz w:val="24"/>
        </w:rPr>
      </w:pPr>
      <w:r>
        <w:rPr>
          <w:rFonts w:ascii="Times New Roman;serif" w:hAnsi="Times New Roman;serif"/>
          <w:b w:val="false"/>
          <w:sz w:val="16"/>
        </w:rPr>
        <w:t>Included in “Cash and cash equivalents” in the Company’s condensed consolidated balance sheets as of June 30, 2023 and December 31, 2022, in addition to cash of $40.6</w:t>
      </w:r>
      <w:r>
        <w:rPr>
          <w:rFonts w:ascii="Times New Roman;serif" w:hAnsi="Times New Roman;serif"/>
          <w:sz w:val="24"/>
        </w:rPr>
        <w:t xml:space="preserve"> </w:t>
      </w:r>
      <w:r>
        <w:rPr>
          <w:rFonts w:ascii="Times New Roman;serif" w:hAnsi="Times New Roman;serif"/>
          <w:b w:val="false"/>
          <w:sz w:val="16"/>
        </w:rPr>
        <w:t>million and $49.8</w:t>
      </w:r>
      <w:r>
        <w:rPr>
          <w:rFonts w:ascii="Times New Roman;serif" w:hAnsi="Times New Roman;serif"/>
          <w:sz w:val="24"/>
        </w:rPr>
        <w:t xml:space="preserve"> </w:t>
      </w:r>
      <w:r>
        <w:rPr>
          <w:rFonts w:ascii="Times New Roman;serif" w:hAnsi="Times New Roman;serif"/>
          <w:b w:val="false"/>
          <w:sz w:val="16"/>
        </w:rPr>
        <w:t>million, respectively.</w:t>
      </w:r>
      <w:r>
        <w:rPr>
          <w:rFonts w:ascii="Times New Roman;serif" w:hAnsi="Times New Roman;serif"/>
          <w:sz w:val="24"/>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fair value of the Company's available-for-sale securities as of June 30, 2023, by remaining contractual maturities, was as follows (in thousands):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062" w:type="dxa"/>
        <w:jc w:val="left"/>
        <w:tblInd w:w="0" w:type="dxa"/>
        <w:tblLayout w:type="fixed"/>
        <w:tblCellMar>
          <w:top w:w="28" w:type="dxa"/>
          <w:left w:w="28" w:type="dxa"/>
          <w:bottom w:w="28" w:type="dxa"/>
          <w:right w:w="28" w:type="dxa"/>
        </w:tblCellMar>
      </w:tblPr>
      <w:tblGrid>
        <w:gridCol w:w="2401"/>
        <w:gridCol w:w="146"/>
        <w:gridCol w:w="146"/>
        <w:gridCol w:w="146"/>
        <w:gridCol w:w="146"/>
        <w:gridCol w:w="146"/>
        <w:gridCol w:w="414"/>
        <w:gridCol w:w="1326"/>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one year or less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56,001</w:t>
            </w:r>
          </w:p>
        </w:tc>
        <w:tc>
          <w:tcPr>
            <w:tcW w:w="191" w:type="dxa"/>
            <w:tcBorders/>
            <w:vAlign w:val="center"/>
          </w:tcPr>
          <w:p>
            <w:pPr>
              <w:pStyle w:val="TableContents"/>
              <w:bidi w:val="0"/>
              <w:spacing w:before="0" w:after="0"/>
              <w:ind w:left="0" w:right="0" w:hanging="0"/>
              <w:jc w:val="left"/>
              <w:rPr/>
            </w:pPr>
            <w:r>
              <w:rPr/>
              <w:t> </w:t>
            </w:r>
          </w:p>
        </w:tc>
      </w:tr>
      <w:tr>
        <w:trPr/>
        <w:tc>
          <w:tcPr>
            <w:tcW w:w="2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greater than one year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84,392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(5)</w:t>
      </w:r>
    </w:p>
    <w:p>
      <w:pPr>
        <w:pStyle w:val="TextBody"/>
        <w:bidi w:val="0"/>
        <w:spacing w:before="160" w:after="283"/>
        <w:jc w:val="left"/>
        <w:rPr>
          <w:rFonts w:ascii="Times New Roman;serif" w:hAnsi="Times New Roman;serif"/>
          <w:b/>
          <w:sz w:val="20"/>
        </w:rPr>
      </w:pPr>
      <w:r>
        <w:rPr>
          <w:rFonts w:ascii="Times New Roman;serif" w:hAnsi="Times New Roman;serif"/>
          <w:b/>
          <w:sz w:val="20"/>
        </w:rPr>
        <w:t>Intangible Assets, Net</w:t>
      </w:r>
    </w:p>
    <w:p>
      <w:pPr>
        <w:pStyle w:val="TextBody"/>
        <w:bidi w:val="0"/>
        <w:spacing w:before="120" w:after="0"/>
        <w:jc w:val="left"/>
        <w:rPr>
          <w:rFonts w:ascii="Times New Roman" w:hAnsi="Times New Roman"/>
          <w:sz w:val="20"/>
        </w:rPr>
      </w:pPr>
      <w:r>
        <w:rPr>
          <w:rFonts w:ascii="Times New Roman;serif" w:hAnsi="Times New Roman;serif"/>
          <w:b/>
          <w:i/>
          <w:sz w:val="20"/>
        </w:rPr>
        <w:t>Intangible Assets Other Than Goodwill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Intangible assets, net consisted of the following (in thousands):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246"/>
        <w:gridCol w:w="146"/>
        <w:gridCol w:w="211"/>
        <w:gridCol w:w="169"/>
        <w:gridCol w:w="662"/>
        <w:gridCol w:w="146"/>
        <w:gridCol w:w="146"/>
        <w:gridCol w:w="211"/>
        <w:gridCol w:w="221"/>
        <w:gridCol w:w="958"/>
        <w:gridCol w:w="166"/>
        <w:gridCol w:w="146"/>
        <w:gridCol w:w="211"/>
        <w:gridCol w:w="166"/>
        <w:gridCol w:w="649"/>
        <w:gridCol w:w="146"/>
        <w:gridCol w:w="146"/>
        <w:gridCol w:w="211"/>
        <w:gridCol w:w="169"/>
        <w:gridCol w:w="662"/>
        <w:gridCol w:w="146"/>
        <w:gridCol w:w="146"/>
        <w:gridCol w:w="211"/>
        <w:gridCol w:w="221"/>
        <w:gridCol w:w="958"/>
        <w:gridCol w:w="166"/>
        <w:gridCol w:w="146"/>
        <w:gridCol w:w="211"/>
        <w:gridCol w:w="166"/>
        <w:gridCol w:w="649"/>
        <w:gridCol w:w="397"/>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51" w:type="dxa"/>
            <w:gridSpan w:val="1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51" w:type="dxa"/>
            <w:gridSpan w:val="1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Gross Carrying </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Net Carrying </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Gross Carrying </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Net Carrying </w:t>
              <w:br/>
              <w:t>Amount</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 </w:t>
            </w:r>
          </w:p>
        </w:tc>
        <w:tc>
          <w:tcPr>
            <w:tcW w:w="8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7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right"/>
              <w:rPr/>
            </w:pPr>
            <w:r>
              <w:rPr/>
              <w:t> </w:t>
            </w:r>
          </w:p>
        </w:tc>
        <w:tc>
          <w:tcPr>
            <w:tcW w:w="117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t> </w:t>
            </w:r>
          </w:p>
        </w:tc>
        <w:tc>
          <w:tcPr>
            <w:tcW w:w="397" w:type="dxa"/>
            <w:tcBorders/>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1"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1"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w:t>
            </w:r>
          </w:p>
        </w:tc>
        <w:tc>
          <w:tcPr>
            <w:tcW w:w="397"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24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3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Amortization expense of intangible assets was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and six months ended June 30, 2023, respectively, and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and six months ended June 30, 2022,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future amortization expense is expected to be as follows (in thousands):</w:t>
      </w:r>
      <w:r>
        <w:rPr>
          <w:rFonts w:ascii="Times New Roman" w:hAnsi="Times New Roman"/>
          <w:sz w:val="20"/>
        </w:rPr>
        <w:t xml:space="preserve"> </w:t>
      </w:r>
    </w:p>
    <w:tbl>
      <w:tblPr>
        <w:tblW w:w="3000" w:type="dxa"/>
        <w:jc w:val="left"/>
        <w:tblInd w:w="0" w:type="dxa"/>
        <w:tblLayout w:type="fixed"/>
        <w:tblCellMar>
          <w:top w:w="28" w:type="dxa"/>
          <w:left w:w="28" w:type="dxa"/>
          <w:bottom w:w="28" w:type="dxa"/>
          <w:right w:w="28" w:type="dxa"/>
        </w:tblCellMar>
      </w:tblPr>
      <w:tblGrid>
        <w:gridCol w:w="1681"/>
        <w:gridCol w:w="146"/>
        <w:gridCol w:w="211"/>
        <w:gridCol w:w="57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(6)</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Stockholders’ Equity and Equity Incentive Plans </w:t>
      </w:r>
    </w:p>
    <w:p>
      <w:pPr>
        <w:pStyle w:val="TextBody"/>
        <w:bidi w:val="0"/>
        <w:spacing w:before="120" w:after="0"/>
        <w:jc w:val="left"/>
        <w:rPr>
          <w:rFonts w:ascii="Times New Roman" w:hAnsi="Times New Roman"/>
          <w:sz w:val="20"/>
        </w:rPr>
      </w:pPr>
      <w:r>
        <w:rPr>
          <w:rFonts w:ascii="Times New Roman;serif" w:hAnsi="Times New Roman;serif"/>
          <w:b/>
          <w:i/>
          <w:sz w:val="20"/>
        </w:rPr>
        <w:t>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w:t>
      </w:r>
      <w:r>
        <w:rPr>
          <w:rFonts w:ascii="Times New Roman" w:hAnsi="Times New Roman"/>
          <w:sz w:val="20"/>
        </w:rPr>
        <w:t xml:space="preserve"> </w:t>
      </w:r>
      <w:r>
        <w:rPr>
          <w:rFonts w:ascii="Times New Roman;serif" w:hAnsi="Times New Roman;serif"/>
          <w:b w:val="false"/>
          <w:sz w:val="20"/>
        </w:rPr>
        <w:t>which authorized the issuance of 20</w:t>
      </w:r>
      <w:r>
        <w:rPr>
          <w:rFonts w:ascii="Times New Roman" w:hAnsi="Times New Roman"/>
          <w:sz w:val="20"/>
        </w:rPr>
        <w:t xml:space="preserve"> </w:t>
      </w:r>
      <w:r>
        <w:rPr>
          <w:rFonts w:ascii="Times New Roman;serif" w:hAnsi="Times New Roman;serif"/>
          <w:b w:val="false"/>
          <w:sz w:val="20"/>
        </w:rPr>
        <w:t>million shares of undesignated preferred stock with a par value of $0.00001</w:t>
      </w:r>
      <w:r>
        <w:rPr>
          <w:rFonts w:ascii="Times New Roman" w:hAnsi="Times New Roman"/>
          <w:sz w:val="20"/>
        </w:rPr>
        <w:t xml:space="preserve"> </w:t>
      </w:r>
      <w:r>
        <w:rPr>
          <w:rFonts w:ascii="Times New Roman;serif" w:hAnsi="Times New Roman;serif"/>
          <w:b w:val="false"/>
          <w:sz w:val="20"/>
        </w:rPr>
        <w:t>per share and rights and preferences, including voting rights, designated from time to time by the Company's board of directors.</w:t>
      </w:r>
    </w:p>
    <w:p>
      <w:pPr>
        <w:pStyle w:val="TextBody"/>
        <w:bidi w:val="0"/>
        <w:spacing w:before="360" w:after="0"/>
        <w:jc w:val="left"/>
        <w:rPr>
          <w:rFonts w:ascii="Times New Roman" w:hAnsi="Times New Roman"/>
          <w:sz w:val="20"/>
        </w:rPr>
      </w:pPr>
      <w:r>
        <w:rPr>
          <w:rFonts w:ascii="Times New Roman;serif" w:hAnsi="Times New Roman;serif"/>
          <w:b/>
          <w:i/>
          <w:sz w:val="20"/>
        </w:rPr>
        <w:t>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two classes of common stock: Class A common stock and Class B common stock. The Company's amended and restated certificate of incorporation authorizes the issuance of 600</w:t>
      </w:r>
      <w:r>
        <w:rPr>
          <w:rFonts w:ascii="Times New Roman" w:hAnsi="Times New Roman"/>
          <w:sz w:val="20"/>
        </w:rPr>
        <w:t xml:space="preserve"> </w:t>
      </w:r>
      <w:r>
        <w:rPr>
          <w:rFonts w:ascii="Times New Roman;serif" w:hAnsi="Times New Roman;serif"/>
          <w:b w:val="false"/>
          <w:sz w:val="20"/>
        </w:rPr>
        <w:t>million shares of Class A common stock and 600</w:t>
      </w:r>
      <w:r>
        <w:rPr>
          <w:rFonts w:ascii="Times New Roman" w:hAnsi="Times New Roman"/>
          <w:sz w:val="20"/>
        </w:rPr>
        <w:t xml:space="preserve"> </w:t>
      </w:r>
      <w:r>
        <w:rPr>
          <w:rFonts w:ascii="Times New Roman;serif" w:hAnsi="Times New Roman;serif"/>
          <w:b w:val="false"/>
          <w:sz w:val="20"/>
        </w:rPr>
        <w:t>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w:t>
      </w:r>
      <w:r>
        <w:rPr>
          <w:rFonts w:ascii="Times New Roman" w:hAnsi="Times New Roman"/>
          <w:sz w:val="20"/>
        </w:rPr>
        <w:t xml:space="preserve"> </w:t>
      </w:r>
      <w:r>
        <w:rPr>
          <w:rFonts w:ascii="Times New Roman;serif" w:hAnsi="Times New Roman;serif"/>
          <w:b w:val="false"/>
          <w:sz w:val="20"/>
        </w:rPr>
        <w:t>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reserved shares of its common stock as follows:</w:t>
      </w:r>
      <w:r>
        <w:rPr>
          <w:rFonts w:ascii="Times New Roman" w:hAnsi="Times New Roman"/>
          <w:sz w:val="20"/>
        </w:rPr>
        <w:t xml:space="preserve"> </w:t>
      </w:r>
    </w:p>
    <w:p>
      <w:pPr>
        <w:pStyle w:val="TextBody"/>
        <w:bidi w:val="0"/>
        <w:spacing w:before="0" w:after="0"/>
        <w:jc w:val="left"/>
        <w:rPr/>
      </w:pPr>
      <w:r>
        <w:rPr/>
        <w:t> </w:t>
      </w:r>
    </w:p>
    <w:tbl>
      <w:tblPr>
        <w:tblW w:w="9082" w:type="dxa"/>
        <w:jc w:val="left"/>
        <w:tblInd w:w="0" w:type="dxa"/>
        <w:tblLayout w:type="fixed"/>
        <w:tblCellMar>
          <w:top w:w="28" w:type="dxa"/>
          <w:left w:w="28" w:type="dxa"/>
          <w:bottom w:w="28" w:type="dxa"/>
          <w:right w:w="28" w:type="dxa"/>
        </w:tblCellMar>
      </w:tblPr>
      <w:tblGrid>
        <w:gridCol w:w="5566"/>
        <w:gridCol w:w="146"/>
        <w:gridCol w:w="146"/>
        <w:gridCol w:w="1036"/>
        <w:gridCol w:w="146"/>
        <w:gridCol w:w="146"/>
        <w:gridCol w:w="161"/>
        <w:gridCol w:w="1144"/>
        <w:gridCol w:w="5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b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br/>
              <w:t xml:space="preserve">December 31, </w:t>
              <w:b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305"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2014 Stock Option and Grant Plan and 2021 Incentive Award Plan:</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plan stock options outstanding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15,327,959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16,767,752</w:t>
            </w:r>
          </w:p>
        </w:tc>
        <w:tc>
          <w:tcPr>
            <w:tcW w:w="591" w:type="dxa"/>
            <w:tcBorders/>
            <w:vAlign w:val="center"/>
          </w:tcPr>
          <w:p>
            <w:pPr>
              <w:pStyle w:val="TableContents"/>
              <w:bidi w:val="0"/>
              <w:spacing w:before="0" w:after="0"/>
              <w:ind w:left="0" w:right="0" w:firstLine="200"/>
              <w:jc w:val="lef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RSUs outstanding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11,257,571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9,914,125</w:t>
            </w:r>
          </w:p>
        </w:tc>
        <w:tc>
          <w:tcPr>
            <w:tcW w:w="591" w:type="dxa"/>
            <w:tcBorders/>
            <w:vAlign w:val="center"/>
          </w:tcPr>
          <w:p>
            <w:pPr>
              <w:pStyle w:val="TableContents"/>
              <w:bidi w:val="0"/>
              <w:spacing w:before="0" w:after="0"/>
              <w:ind w:left="0" w:right="0" w:firstLine="200"/>
              <w:jc w:val="lef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Shares available for future issuance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19,592,880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16,774,634</w:t>
            </w:r>
          </w:p>
        </w:tc>
        <w:tc>
          <w:tcPr>
            <w:tcW w:w="591" w:type="dxa"/>
            <w:tcBorders/>
            <w:vAlign w:val="center"/>
          </w:tcPr>
          <w:p>
            <w:pPr>
              <w:pStyle w:val="TableContents"/>
              <w:bidi w:val="0"/>
              <w:spacing w:before="0" w:after="0"/>
              <w:ind w:left="0" w:right="0" w:hanging="0"/>
              <w:jc w:val="lef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2021 Employee Stock Purchase Plan:</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Shares available for future issuance</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4,251,616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3,411,791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reserved shares</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50,430,026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46,868,302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i/>
          <w:sz w:val="20"/>
        </w:rPr>
        <w:t>Equity Incentive Plans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2014 Stock Option and Grant Plan</w:t>
      </w:r>
    </w:p>
    <w:p>
      <w:pPr>
        <w:pStyle w:val="TextBody"/>
        <w:bidi w:val="0"/>
        <w:spacing w:before="120" w:after="0"/>
        <w:jc w:val="left"/>
        <w:rPr>
          <w:rFonts w:ascii="Times New Roman" w:hAnsi="Times New Roman"/>
          <w:sz w:val="20"/>
        </w:rPr>
      </w:pPr>
      <w:r>
        <w:rPr>
          <w:rFonts w:ascii="Times New Roman;serif" w:hAnsi="Times New Roman;serif"/>
          <w:b w:val="false"/>
          <w:sz w:val="20"/>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2021 Incentive Award Plan</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June 30, 2023, a total of 19,592,880</w:t>
      </w:r>
      <w:r>
        <w:rPr>
          <w:rFonts w:ascii="Times New Roman" w:hAnsi="Times New Roman"/>
          <w:sz w:val="20"/>
        </w:rPr>
        <w:t xml:space="preserve"> </w:t>
      </w:r>
      <w:r>
        <w:rPr>
          <w:rFonts w:ascii="Times New Roman;serif" w:hAnsi="Times New Roman;serif"/>
          <w:b w:val="false"/>
          <w:sz w:val="20"/>
        </w:rPr>
        <w:t>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w:t>
      </w:r>
      <w:r>
        <w:rPr>
          <w:rFonts w:ascii="Times New Roman" w:hAnsi="Times New Roman"/>
          <w:sz w:val="20"/>
        </w:rPr>
        <w:t xml:space="preserve"> </w:t>
      </w:r>
      <w:r>
        <w:rPr>
          <w:rFonts w:ascii="Times New Roman;serif" w:hAnsi="Times New Roman;serif"/>
          <w:b w:val="false"/>
          <w:sz w:val="20"/>
        </w:rPr>
        <w:t>shares of stock may be issued upon the exercise of incentive stock options.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Stock Option Awards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 options granted under the 2014 Plan and the 2021 Plan (collectively, the “combined stock plans”) generally vest based on continued service over four years.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Option activity under the Company's combined stock plans for the six months ended June 30, 2023 is set forth below:</w:t>
      </w:r>
    </w:p>
    <w:p>
      <w:pPr>
        <w:pStyle w:val="TextBody"/>
        <w:bidi w:val="0"/>
        <w:spacing w:before="0" w:after="0"/>
        <w:jc w:val="left"/>
        <w:rPr/>
      </w:pPr>
      <w:r>
        <w:rPr/>
        <w:t> </w:t>
      </w:r>
    </w:p>
    <w:tbl>
      <w:tblPr>
        <w:tblW w:w="8583" w:type="dxa"/>
        <w:jc w:val="left"/>
        <w:tblInd w:w="0" w:type="dxa"/>
        <w:tblLayout w:type="fixed"/>
        <w:tblCellMar>
          <w:top w:w="28" w:type="dxa"/>
          <w:left w:w="28" w:type="dxa"/>
          <w:bottom w:w="28" w:type="dxa"/>
          <w:right w:w="28" w:type="dxa"/>
        </w:tblCellMar>
      </w:tblPr>
      <w:tblGrid>
        <w:gridCol w:w="2896"/>
        <w:gridCol w:w="146"/>
        <w:gridCol w:w="146"/>
        <w:gridCol w:w="1036"/>
        <w:gridCol w:w="166"/>
        <w:gridCol w:w="146"/>
        <w:gridCol w:w="247"/>
        <w:gridCol w:w="669"/>
        <w:gridCol w:w="146"/>
        <w:gridCol w:w="146"/>
        <w:gridCol w:w="256"/>
        <w:gridCol w:w="825"/>
        <w:gridCol w:w="146"/>
        <w:gridCol w:w="146"/>
        <w:gridCol w:w="271"/>
        <w:gridCol w:w="1004"/>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Aggregate</w:t>
            </w:r>
          </w:p>
        </w:tc>
        <w:tc>
          <w:tcPr>
            <w:tcW w:w="191"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Outstanding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remaining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intrinsic</w:t>
            </w:r>
          </w:p>
        </w:tc>
        <w:tc>
          <w:tcPr>
            <w:tcW w:w="191"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stock</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exercise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contractual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value</w:t>
            </w:r>
          </w:p>
        </w:tc>
        <w:tc>
          <w:tcPr>
            <w:tcW w:w="191"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as of December 31, 2022</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16,767,752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132,298</w:t>
            </w:r>
          </w:p>
        </w:tc>
        <w:tc>
          <w:tcPr>
            <w:tcW w:w="1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241,819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(782,156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4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Cancelled/forfeited</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(899,456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4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Balances as of June 30, 2023</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15,327,959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104,081</w:t>
            </w:r>
          </w:p>
        </w:tc>
        <w:tc>
          <w:tcPr>
            <w:tcW w:w="19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Exercisable as of June 30, 2023</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12,889,356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96,771</w:t>
            </w:r>
          </w:p>
        </w:tc>
        <w:tc>
          <w:tcPr>
            <w:tcW w:w="191"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 xml:space="preserve">As no forfeitures are estimated due to the Company’s adoption of ASU No. 2016-09, all options are vested or expected to vest. As of June 30, 2023, no options were outstanding that were subject to a future performance condition. </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jc w:val="left"/>
        <w:rPr>
          <w:rFonts w:ascii="Times New Roman;serif" w:hAnsi="Times New Roman;serif"/>
          <w:b w:val="false"/>
          <w:sz w:val="16"/>
        </w:rPr>
      </w:pPr>
      <w:r>
        <w:rPr>
          <w:rFonts w:ascii="Times New Roman;serif" w:hAnsi="Times New Roman;serif"/>
          <w:b w:val="false"/>
          <w:sz w:val="16"/>
        </w:rPr>
        <w:t xml:space="preserve">Exercisable shares include vested options as well as unvested shares that can be early exercised. </w:t>
      </w:r>
    </w:p>
    <w:p>
      <w:pPr>
        <w:pStyle w:val="TextBody"/>
        <w:bidi w:val="0"/>
        <w:spacing w:before="240" w:after="0"/>
        <w:jc w:val="left"/>
        <w:rPr>
          <w:rFonts w:ascii="Times New Roman" w:hAnsi="Times New Roman"/>
          <w:sz w:val="20"/>
        </w:rPr>
      </w:pPr>
      <w:r>
        <w:rPr>
          <w:rFonts w:ascii="Times New Roman;serif" w:hAnsi="Times New Roman;serif"/>
          <w:b w:val="false"/>
          <w:sz w:val="20"/>
        </w:rPr>
        <w:t>The aggregate intrinsic values of options are calculated as the difference between the exercise price of the options and the market price for shares of the Company’s Class A common stock as of each period-end. The total intrinsic value of options exercised for the six months ended June 30, 2023 and 2022 was $6.2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$22.5</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Stock options granted during the six months ended June 30, 2023 and 2022 had a weighted average grant date fair value of $6.84</w:t>
      </w:r>
      <w:r>
        <w:rPr>
          <w:rFonts w:ascii="Times New Roman" w:hAnsi="Times New Roman"/>
          <w:sz w:val="20"/>
        </w:rPr>
        <w:t xml:space="preserve"> </w:t>
      </w:r>
      <w:r>
        <w:rPr>
          <w:rFonts w:ascii="Times New Roman;serif" w:hAnsi="Times New Roman;serif"/>
          <w:b w:val="false"/>
          <w:sz w:val="20"/>
        </w:rPr>
        <w:t>per share and $15.63</w:t>
      </w:r>
      <w:r>
        <w:rPr>
          <w:rFonts w:ascii="Times New Roman" w:hAnsi="Times New Roman"/>
          <w:sz w:val="20"/>
        </w:rPr>
        <w:t xml:space="preserve"> </w:t>
      </w:r>
      <w:r>
        <w:rPr>
          <w:rFonts w:ascii="Times New Roman;serif" w:hAnsi="Times New Roman;serif"/>
          <w:b w:val="false"/>
          <w:sz w:val="20"/>
        </w:rPr>
        <w:t>per share, respectively. With the exception for the Performance Options detailed above, the fair value is being expensed over the vesting period of the options on a straight-line basis as the services are being provided. No tax benefits were realized from options during the periods.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total unrecognized stock-based compensation expense related to options outstanding under the combined stock plans was $14.5</w:t>
      </w:r>
      <w:r>
        <w:rPr>
          <w:rFonts w:ascii="Times New Roman" w:hAnsi="Times New Roman"/>
          <w:sz w:val="20"/>
        </w:rPr>
        <w:t xml:space="preserve"> </w:t>
      </w:r>
      <w:r>
        <w:rPr>
          <w:rFonts w:ascii="Times New Roman;serif" w:hAnsi="Times New Roman;serif"/>
          <w:b w:val="false"/>
          <w:sz w:val="20"/>
        </w:rPr>
        <w:t>million. This unrecognized expense as of June 30, 2023 is expected to be recognized over the weighted average remaining vesting period of 2.38</w:t>
      </w:r>
      <w:r>
        <w:rPr>
          <w:rFonts w:ascii="Times New Roman;serif" w:hAnsi="Times New Roman;serif"/>
          <w:sz w:val="20"/>
        </w:rPr>
        <w:t xml:space="preserve"> </w:t>
      </w:r>
      <w:r>
        <w:rPr>
          <w:rFonts w:ascii="Times New Roman;serif" w:hAnsi="Times New Roman;serif"/>
          <w:b w:val="false"/>
          <w:sz w:val="20"/>
        </w:rPr>
        <w:t>years. As of June 30, 2023, the Company had 342,000</w:t>
      </w:r>
      <w:r>
        <w:rPr>
          <w:rFonts w:ascii="Times New Roman" w:hAnsi="Times New Roman"/>
          <w:sz w:val="20"/>
        </w:rPr>
        <w:t xml:space="preserve"> </w:t>
      </w:r>
      <w:r>
        <w:rPr>
          <w:rFonts w:ascii="Times New Roman;serif" w:hAnsi="Times New Roman;serif"/>
          <w:b w:val="false"/>
          <w:sz w:val="20"/>
        </w:rPr>
        <w:t>shares of non-employee stock options outstanding under the combined stock plans.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fair value of each option granted to employees under the 2021 Plan is estimated on the grant date using the Black-Scholes pricing model.</w:t>
      </w:r>
    </w:p>
    <w:p>
      <w:pPr>
        <w:pStyle w:val="TextBody"/>
        <w:bidi w:val="0"/>
        <w:spacing w:before="360" w:after="0"/>
        <w:jc w:val="left"/>
        <w:rPr>
          <w:rFonts w:ascii="Times New Roman" w:hAnsi="Times New Roman"/>
          <w:sz w:val="20"/>
        </w:rPr>
      </w:pPr>
      <w:r>
        <w:rPr>
          <w:rFonts w:ascii="Times New Roman;serif" w:hAnsi="Times New Roman;serif"/>
          <w:b w:val="false"/>
          <w:i/>
          <w:sz w:val="20"/>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RSUs granted under the 2021 Plan generally vest based on continued service.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and six months ended June 30, 2023, the Company recorded $18.6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$35.2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stock-based compensation expense related to RSUs, respectively. During the three and six months ended June 30, 2022, the Company recorded $10.1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$16.3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stock-based compensation expense related to RSUs,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total unrecognized stock-based compensation expense related to RSUs was $166.8</w:t>
      </w:r>
      <w:r>
        <w:rPr>
          <w:rFonts w:ascii="Times New Roman" w:hAnsi="Times New Roman"/>
          <w:sz w:val="20"/>
        </w:rPr>
        <w:t xml:space="preserve"> </w:t>
      </w:r>
      <w:r>
        <w:rPr>
          <w:rFonts w:ascii="Times New Roman;serif" w:hAnsi="Times New Roman;serif"/>
          <w:b w:val="false"/>
          <w:sz w:val="20"/>
        </w:rPr>
        <w:t>million. This unrecognized expense as of June 30, 2023 is expected to be recognized over the weighted average remaining vesting period of 2.41</w:t>
      </w:r>
      <w:r>
        <w:rPr>
          <w:rFonts w:ascii="Times New Roman;serif" w:hAnsi="Times New Roman;serif"/>
          <w:sz w:val="20"/>
        </w:rPr>
        <w:t xml:space="preserve"> </w:t>
      </w:r>
      <w:r>
        <w:rPr>
          <w:rFonts w:ascii="Times New Roman;serif" w:hAnsi="Times New Roman;serif"/>
          <w:b w:val="false"/>
          <w:sz w:val="20"/>
        </w:rPr>
        <w:t>years. As of June 30, 2023, the Company had 195,006</w:t>
      </w:r>
      <w:r>
        <w:rPr>
          <w:rFonts w:ascii="Times New Roman" w:hAnsi="Times New Roman"/>
          <w:sz w:val="20"/>
        </w:rPr>
        <w:t xml:space="preserve"> </w:t>
      </w:r>
      <w:r>
        <w:rPr>
          <w:rFonts w:ascii="Times New Roman;serif" w:hAnsi="Times New Roman;serif"/>
          <w:b w:val="false"/>
          <w:sz w:val="20"/>
        </w:rPr>
        <w:t>shares of non-employee RSUs outstanding under the combined stock plans.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RSU activity during the six months ended June 30, 2023 was as follows:</w:t>
      </w:r>
      <w:r>
        <w:rPr>
          <w:rFonts w:ascii="Times New Roman" w:hAnsi="Times New Roman"/>
          <w:sz w:val="20"/>
        </w:rPr>
        <w:t xml:space="preserve"> </w:t>
      </w:r>
    </w:p>
    <w:p>
      <w:pPr>
        <w:pStyle w:val="TextBody"/>
        <w:bidi w:val="0"/>
        <w:spacing w:before="0" w:after="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146"/>
        <w:gridCol w:w="177"/>
        <w:gridCol w:w="1263"/>
        <w:gridCol w:w="166"/>
        <w:gridCol w:w="146"/>
        <w:gridCol w:w="449"/>
        <w:gridCol w:w="1217"/>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Restricted stock</w:t>
              <w:br/>
              <w:t>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Weighted-average</w:t>
              <w:br/>
              <w:t xml:space="preserve">grant date fair </w:t>
              <w:br/>
              <w:t>value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9,914,125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left"/>
              <w:rPr/>
            </w:pPr>
            <w:r>
              <w:rPr/>
              <w:t> </w:t>
            </w:r>
          </w:p>
        </w:tc>
        <w:tc>
          <w:tcPr>
            <w:tcW w:w="12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5,507,256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49"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left"/>
              <w:rPr/>
            </w:pPr>
            <w:r>
              <w:rPr/>
              <w:t> </w:t>
            </w:r>
          </w:p>
        </w:tc>
        <w:tc>
          <w:tcPr>
            <w:tcW w:w="12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(2,252,433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449"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18.32</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Cancelled/forfeited</w:t>
            </w:r>
          </w:p>
        </w:tc>
        <w:tc>
          <w:tcPr>
            <w:tcW w:w="146" w:type="dxa"/>
            <w:tcBorders/>
            <w:vAlign w:val="center"/>
          </w:tcPr>
          <w:p>
            <w:pPr>
              <w:pStyle w:val="TableContents"/>
              <w:bidi w:val="0"/>
              <w:spacing w:before="0" w:after="0"/>
              <w:ind w:left="0" w:right="0" w:hanging="0"/>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(1,911,377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449"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17.89</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right"/>
              <w:rPr/>
            </w:pPr>
            <w:r>
              <w:rPr/>
              <w:t> </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11,257,571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2021 Employee Stock Purchase Plan</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June 30, 2023, a total of 4,251,616</w:t>
      </w:r>
      <w:r>
        <w:rPr>
          <w:rFonts w:ascii="Times New Roman" w:hAnsi="Times New Roman"/>
          <w:sz w:val="20"/>
        </w:rPr>
        <w:t xml:space="preserve"> </w:t>
      </w:r>
      <w:r>
        <w:rPr>
          <w:rFonts w:ascii="Times New Roman;serif" w:hAnsi="Times New Roman;serif"/>
          <w:b w:val="false"/>
          <w:sz w:val="20"/>
        </w:rPr>
        <w:t>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initial offering period under the ESPP was longer than 12 months, commencing on September 28, 2021</w:t>
      </w:r>
      <w:r>
        <w:rPr>
          <w:rFonts w:ascii="Times New Roman" w:hAnsi="Times New Roman"/>
          <w:sz w:val="20"/>
        </w:rPr>
        <w:t xml:space="preserve"> </w:t>
      </w:r>
      <w:r>
        <w:rPr>
          <w:rFonts w:ascii="Times New Roman;serif" w:hAnsi="Times New Roman;serif"/>
          <w:b w:val="false"/>
          <w:sz w:val="20"/>
        </w:rPr>
        <w:t>and ending on November 14, 2022. The first purchase period commenced on September 28, 2021 and ended on May 14, 2022. 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each purchase period since the initial purchase period on May 14, 2022, the corresponding offering periods were terminated and participants were automatically enrolled in a new 12-month offering period.</w:t>
      </w:r>
      <w:r>
        <w:rPr>
          <w:rFonts w:ascii="Times New Roman" w:hAnsi="Times New Roman"/>
          <w:sz w:val="20"/>
        </w:rPr>
        <w:t xml:space="preserve"> </w:t>
      </w:r>
      <w:r>
        <w:rPr>
          <w:rFonts w:ascii="Times New Roman;serif" w:hAnsi="Times New Roman;serif"/>
          <w:b w:val="false"/>
          <w:sz w:val="20"/>
        </w:rPr>
        <w:t>The impact of the rollover feature did not result in material incremental compensation cost for the six months ended June 30, 2023.</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shares have been purchased under the ESPP. During the three and six months ended June 30, 2023, the Company recognized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stock-based compensation expense related to the ESPP, respectively. During the three and six months ended June 30, 2022, the Company recognized $1.6</w:t>
      </w:r>
      <w:r>
        <w:rPr>
          <w:rFonts w:ascii="Times New Roman" w:hAnsi="Times New Roman"/>
          <w:sz w:val="20"/>
        </w:rPr>
        <w:t xml:space="preserve"> </w:t>
      </w:r>
      <w:r>
        <w:rPr>
          <w:rFonts w:ascii="Times New Roman;serif" w:hAnsi="Times New Roman;serif"/>
          <w:b w:val="false"/>
          <w:sz w:val="20"/>
        </w:rPr>
        <w:t>million and $3.0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stock-based compensation expense related to the ESPP, respectively. As of June 30, 2023, total unrecognized compensation cost related to the ESPP was $1.9</w:t>
      </w:r>
      <w:r>
        <w:rPr>
          <w:rFonts w:ascii="Times New Roman" w:hAnsi="Times New Roman"/>
          <w:sz w:val="20"/>
        </w:rPr>
        <w:t xml:space="preserve"> </w:t>
      </w:r>
      <w:r>
        <w:rPr>
          <w:rFonts w:ascii="Times New Roman;serif" w:hAnsi="Times New Roman;serif"/>
          <w:b w:val="false"/>
          <w:sz w:val="20"/>
        </w:rPr>
        <w:t>million, which will be amortized over a weighted average period of 0.72</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left"/>
        <w:rPr>
          <w:rFonts w:ascii="Times New Roman" w:hAnsi="Times New Roman"/>
          <w:sz w:val="20"/>
        </w:rPr>
      </w:pPr>
      <w:r>
        <w:rPr>
          <w:rFonts w:ascii="Times New Roman;serif" w:hAnsi="Times New Roman;serif"/>
          <w:b w:val="false"/>
          <w:sz w:val="20"/>
        </w:rPr>
        <w:t>Stock-based compensation expense, net of actual forfeitures is reflected in the condensed consolidated statements of operations and comprehensive loss (in thousands):</w:t>
      </w:r>
      <w:r>
        <w:rPr>
          <w:rFonts w:ascii="Times New Roman" w:hAnsi="Times New Roman"/>
          <w:sz w:val="20"/>
        </w:rPr>
        <w:t xml:space="preserve"> </w:t>
      </w:r>
    </w:p>
    <w:p>
      <w:pPr>
        <w:pStyle w:val="TextBody"/>
        <w:bidi w:val="0"/>
        <w:spacing w:before="0" w:after="0"/>
        <w:jc w:val="left"/>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46"/>
        <w:gridCol w:w="146"/>
        <w:gridCol w:w="211"/>
        <w:gridCol w:w="676"/>
        <w:gridCol w:w="146"/>
        <w:gridCol w:w="146"/>
        <w:gridCol w:w="211"/>
        <w:gridCol w:w="676"/>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2,592</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11,667</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6,445</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7,635</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and other related charges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28,339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(7)</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Income Taxes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had an effective tax rate of (0.6)%</w:t>
      </w:r>
      <w:r>
        <w:rPr>
          <w:rFonts w:ascii="Times New Roman" w:hAnsi="Times New Roman"/>
          <w:sz w:val="20"/>
        </w:rPr>
        <w:t xml:space="preserve"> </w:t>
      </w:r>
      <w:r>
        <w:rPr>
          <w:rFonts w:ascii="Times New Roman;serif" w:hAnsi="Times New Roman;serif"/>
          <w:b w:val="false"/>
          <w:sz w:val="20"/>
        </w:rPr>
        <w:t>and (0.9)%</w:t>
      </w:r>
      <w:r>
        <w:rPr>
          <w:rFonts w:ascii="Times New Roman" w:hAnsi="Times New Roman"/>
          <w:sz w:val="20"/>
        </w:rPr>
        <w:t xml:space="preserve"> </w:t>
      </w:r>
      <w:r>
        <w:rPr>
          <w:rFonts w:ascii="Times New Roman;serif" w:hAnsi="Times New Roman;serif"/>
          <w:b w:val="false"/>
          <w:sz w:val="20"/>
        </w:rPr>
        <w:t>for the three and six months ended June 30, 2023, respectively, and (1.1)%</w:t>
      </w:r>
      <w:r>
        <w:rPr>
          <w:rFonts w:ascii="Times New Roman" w:hAnsi="Times New Roman"/>
          <w:sz w:val="20"/>
        </w:rPr>
        <w:t xml:space="preserve"> </w:t>
      </w:r>
      <w:r>
        <w:rPr>
          <w:rFonts w:ascii="Times New Roman;serif" w:hAnsi="Times New Roman;serif"/>
          <w:b w:val="false"/>
          <w:sz w:val="20"/>
        </w:rPr>
        <w:t>and (1.3)%</w:t>
      </w:r>
      <w:r>
        <w:rPr>
          <w:rFonts w:ascii="Times New Roman" w:hAnsi="Times New Roman"/>
          <w:sz w:val="20"/>
        </w:rPr>
        <w:t xml:space="preserve"> </w:t>
      </w:r>
      <w:r>
        <w:rPr>
          <w:rFonts w:ascii="Times New Roman;serif" w:hAnsi="Times New Roman;serif"/>
          <w:b w:val="false"/>
          <w:sz w:val="20"/>
        </w:rPr>
        <w:t>for the three and six months ended June 30, 2022, respectively. The Company continues to incur U.S. operating losses and has minimal profits in its foreign jurisdictions.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three and six months ended June 30, 2023 and 2022, the Company evaluated all available evidence, both positive and negative, including historical levels of income, and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pStyle w:val="TextBody"/>
        <w:bidi w:val="0"/>
        <w:spacing w:before="360" w:after="0"/>
        <w:jc w:val="left"/>
        <w:rPr>
          <w:rFonts w:ascii="Times New Roman" w:hAnsi="Times New Roman"/>
          <w:b/>
          <w:sz w:val="20"/>
        </w:rPr>
      </w:pPr>
      <w:r>
        <w:rPr>
          <w:rFonts w:ascii="Times New Roman" w:hAnsi="Times New Roman"/>
          <w:b/>
          <w:sz w:val="20"/>
        </w:rPr>
        <w:t>(8)</w:t>
      </w:r>
    </w:p>
    <w:p>
      <w:pPr>
        <w:pStyle w:val="TextBody"/>
        <w:bidi w:val="0"/>
        <w:spacing w:before="360" w:after="283"/>
        <w:jc w:val="left"/>
        <w:rPr>
          <w:rFonts w:ascii="Times New Roman;serif" w:hAnsi="Times New Roman;serif"/>
          <w:b/>
          <w:sz w:val="20"/>
        </w:rPr>
      </w:pPr>
      <w:r>
        <w:rPr>
          <w:rFonts w:ascii="Times New Roman;serif" w:hAnsi="Times New Roman;serif"/>
          <w:b/>
          <w:sz w:val="20"/>
        </w:rPr>
        <w:t>Operating Leases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Supplemental cash flow information related to operating leases was as follows (in thousands):</w:t>
      </w:r>
    </w:p>
    <w:p>
      <w:pPr>
        <w:pStyle w:val="TextBody"/>
        <w:bidi w:val="0"/>
        <w:spacing w:before="0" w:after="0"/>
        <w:jc w:val="left"/>
        <w:rPr/>
      </w:pPr>
      <w:r>
        <w:rPr/>
        <w:t> </w:t>
      </w:r>
    </w:p>
    <w:tbl>
      <w:tblPr>
        <w:tblW w:w="8168" w:type="dxa"/>
        <w:jc w:val="left"/>
        <w:tblInd w:w="0" w:type="dxa"/>
        <w:tblLayout w:type="fixed"/>
        <w:tblCellMar>
          <w:top w:w="28" w:type="dxa"/>
          <w:left w:w="28" w:type="dxa"/>
          <w:bottom w:w="28" w:type="dxa"/>
          <w:right w:w="28" w:type="dxa"/>
        </w:tblCellMar>
      </w:tblPr>
      <w:tblGrid>
        <w:gridCol w:w="6196"/>
        <w:gridCol w:w="146"/>
        <w:gridCol w:w="441"/>
        <w:gridCol w:w="1194"/>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3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191" w:type="dxa"/>
            <w:tcBorders/>
            <w:vAlign w:val="center"/>
          </w:tcPr>
          <w:p>
            <w:pPr>
              <w:pStyle w:val="TableContents"/>
              <w:bidi w:val="0"/>
              <w:spacing w:before="0" w:after="0"/>
              <w:ind w:left="0" w:right="0" w:hanging="0"/>
              <w:jc w:val="center"/>
              <w:rPr/>
            </w:pPr>
            <w:r>
              <w:rPr/>
              <w:t> </w:t>
            </w:r>
          </w:p>
        </w:tc>
      </w:tr>
      <w:tr>
        <w:trPr/>
        <w:tc>
          <w:tcPr>
            <w:tcW w:w="6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operating lease liabilities</w:t>
            </w:r>
          </w:p>
        </w:tc>
        <w:tc>
          <w:tcPr>
            <w:tcW w:w="146" w:type="dxa"/>
            <w:tcBorders/>
            <w:vAlign w:val="center"/>
          </w:tcPr>
          <w:p>
            <w:pPr>
              <w:pStyle w:val="TableContents"/>
              <w:bidi w:val="0"/>
              <w:spacing w:before="0" w:after="0"/>
              <w:ind w:left="0" w:right="0" w:hanging="0"/>
              <w:jc w:val="right"/>
              <w:rPr/>
            </w:pPr>
            <w:r>
              <w:rPr/>
              <w:t> </w:t>
            </w:r>
          </w:p>
        </w:tc>
        <w:tc>
          <w:tcPr>
            <w:tcW w:w="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6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 liabilities</w:t>
            </w:r>
          </w:p>
        </w:tc>
        <w:tc>
          <w:tcPr>
            <w:tcW w:w="146" w:type="dxa"/>
            <w:tcBorders/>
            <w:vAlign w:val="center"/>
          </w:tcPr>
          <w:p>
            <w:pPr>
              <w:pStyle w:val="TableContents"/>
              <w:bidi w:val="0"/>
              <w:spacing w:before="0" w:after="0"/>
              <w:ind w:left="0" w:right="0" w:hanging="0"/>
              <w:jc w:val="right"/>
              <w:rPr/>
            </w:pPr>
            <w:r>
              <w:rPr/>
              <w:t> </w:t>
            </w:r>
          </w:p>
        </w:tc>
        <w:tc>
          <w:tcPr>
            <w:tcW w:w="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Future minimum lease payments under non-cancellable operating leases with initial lease terms in excess of one year included in the Company’s lease liabilities as of June 30, 2023 were as follows (in thousands):</w:t>
      </w:r>
    </w:p>
    <w:p>
      <w:pPr>
        <w:pStyle w:val="TextBody"/>
        <w:bidi w:val="0"/>
        <w:spacing w:before="0" w:after="0"/>
        <w:jc w:val="left"/>
        <w:rPr/>
      </w:pPr>
      <w:r>
        <w:rPr/>
        <w:t> </w:t>
      </w:r>
    </w:p>
    <w:tbl>
      <w:tblPr>
        <w:tblW w:w="5350" w:type="dxa"/>
        <w:jc w:val="left"/>
        <w:tblInd w:w="0" w:type="dxa"/>
        <w:tblLayout w:type="fixed"/>
        <w:tblCellMar>
          <w:top w:w="28" w:type="dxa"/>
          <w:left w:w="28" w:type="dxa"/>
          <w:bottom w:w="28" w:type="dxa"/>
          <w:right w:w="28" w:type="dxa"/>
        </w:tblCellMar>
      </w:tblPr>
      <w:tblGrid>
        <w:gridCol w:w="3811"/>
        <w:gridCol w:w="146"/>
        <w:gridCol w:w="211"/>
        <w:gridCol w:w="571"/>
        <w:gridCol w:w="6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ending December 31:</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w:t>
            </w:r>
          </w:p>
        </w:tc>
        <w:tc>
          <w:tcPr>
            <w:tcW w:w="611" w:type="dxa"/>
            <w:tcBorders/>
            <w:vAlign w:val="center"/>
          </w:tcPr>
          <w:p>
            <w:pPr>
              <w:pStyle w:val="TableContents"/>
              <w:bidi w:val="0"/>
              <w:spacing w:before="0" w:after="0"/>
              <w:ind w:left="0" w:right="0" w:firstLine="200"/>
              <w:jc w:val="lef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4,019</w:t>
            </w:r>
          </w:p>
        </w:tc>
        <w:tc>
          <w:tcPr>
            <w:tcW w:w="611" w:type="dxa"/>
            <w:tcBorders/>
            <w:vAlign w:val="center"/>
          </w:tcPr>
          <w:p>
            <w:pPr>
              <w:pStyle w:val="TableContents"/>
              <w:bidi w:val="0"/>
              <w:spacing w:before="0" w:after="0"/>
              <w:ind w:left="0" w:right="0" w:firstLine="200"/>
              <w:jc w:val="lef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w:t>
            </w:r>
          </w:p>
        </w:tc>
        <w:tc>
          <w:tcPr>
            <w:tcW w:w="611" w:type="dxa"/>
            <w:tcBorders/>
            <w:vAlign w:val="center"/>
          </w:tcPr>
          <w:p>
            <w:pPr>
              <w:pStyle w:val="TableContents"/>
              <w:bidi w:val="0"/>
              <w:spacing w:before="0" w:after="0"/>
              <w:ind w:left="0" w:right="0" w:firstLine="200"/>
              <w:jc w:val="lef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611" w:type="dxa"/>
            <w:tcBorders/>
            <w:vAlign w:val="center"/>
          </w:tcPr>
          <w:p>
            <w:pPr>
              <w:pStyle w:val="TableContents"/>
              <w:bidi w:val="0"/>
              <w:spacing w:before="0" w:after="0"/>
              <w:ind w:left="0" w:right="0" w:firstLine="200"/>
              <w:jc w:val="lef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2027 and thereafter</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8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undiscounted operating lease payments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9,332</w:t>
            </w:r>
          </w:p>
        </w:tc>
        <w:tc>
          <w:tcPr>
            <w:tcW w:w="611" w:type="dxa"/>
            <w:tcBorders/>
            <w:vAlign w:val="center"/>
          </w:tcPr>
          <w:p>
            <w:pPr>
              <w:pStyle w:val="TableContents"/>
              <w:bidi w:val="0"/>
              <w:spacing w:before="0" w:after="0"/>
              <w:ind w:left="0" w:right="0" w:firstLine="200"/>
              <w:jc w:val="lef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8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(9)</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bidi w:val="0"/>
        <w:spacing w:before="120" w:after="0"/>
        <w:jc w:val="left"/>
        <w:rPr>
          <w:rFonts w:ascii="Times New Roman" w:hAnsi="Times New Roman"/>
          <w:sz w:val="20"/>
        </w:rPr>
      </w:pPr>
      <w:r>
        <w:rPr>
          <w:rFonts w:ascii="Times New Roman;serif" w:hAnsi="Times New Roman;serif"/>
          <w:b/>
          <w:i/>
          <w:sz w:val="20"/>
        </w:rPr>
        <w:t>Legal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(10)</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pStyle w:val="TextBody"/>
        <w:bidi w:val="0"/>
        <w:spacing w:before="240" w:after="0"/>
        <w:jc w:val="left"/>
        <w:rPr>
          <w:rFonts w:ascii="Times New Roman" w:hAnsi="Times New Roman"/>
          <w:sz w:val="20"/>
        </w:rPr>
      </w:pPr>
      <w:r>
        <w:rPr>
          <w:rFonts w:ascii="Times New Roman;serif" w:hAnsi="Times New Roman;serif"/>
          <w:b w:val="false"/>
          <w:sz w:val="20"/>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presents the calculation of basic and diluted net loss per share (in thousands, except per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91" w:type="dxa"/>
            <w:tcBorders/>
            <w:vAlign w:val="center"/>
          </w:tcPr>
          <w:p>
            <w:pPr>
              <w:pStyle w:val="TableContents"/>
              <w:bidi w:val="0"/>
              <w:spacing w:before="0" w:after="0"/>
              <w:ind w:left="0" w:right="0" w:hanging="0"/>
              <w:jc w:val="center"/>
              <w:rPr/>
            </w:pPr>
            <w:r>
              <w:rPr/>
              <w:t> </w:t>
            </w:r>
          </w:p>
        </w:tc>
      </w:tr>
      <w:tr>
        <w:trPr/>
        <w:tc>
          <w:tcPr>
            <w:tcW w:w="47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Class A and Class B common stockholders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computing net loss per share</w:t>
              <w:br/>
              <w:t>   attributable to Class A and Class B common stockholders,</w:t>
              <w:br/>
              <w:t>   basic and 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110,297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per share attributable to Class A and Class B</w:t>
              <w:br/>
              <w:t>   common stockholders, basic and diluted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potential shares of common stock were excluded from the calculation of diluted net loss per share because their effect would have been anti-dilutive for the periods presented (in thousands):</w:t>
      </w:r>
      <w:r>
        <w:rPr>
          <w:rFonts w:ascii="Times New Roman" w:hAnsi="Times New Roman"/>
          <w:sz w:val="20"/>
        </w:rPr>
        <w:t xml:space="preserve"> </w:t>
      </w:r>
    </w:p>
    <w:p>
      <w:pPr>
        <w:pStyle w:val="TextBody"/>
        <w:bidi w:val="0"/>
        <w:spacing w:before="0" w:after="0"/>
        <w:jc w:val="left"/>
        <w:rPr/>
      </w:pPr>
      <w:r>
        <w:rPr/>
        <w:t> </w:t>
      </w:r>
    </w:p>
    <w:tbl>
      <w:tblPr>
        <w:tblW w:w="6100" w:type="dxa"/>
        <w:jc w:val="left"/>
        <w:tblInd w:w="0" w:type="dxa"/>
        <w:tblLayout w:type="fixed"/>
        <w:tblCellMar>
          <w:top w:w="28" w:type="dxa"/>
          <w:left w:w="28" w:type="dxa"/>
          <w:bottom w:w="28" w:type="dxa"/>
          <w:right w:w="28" w:type="dxa"/>
        </w:tblCellMar>
      </w:tblPr>
      <w:tblGrid>
        <w:gridCol w:w="3481"/>
        <w:gridCol w:w="146"/>
        <w:gridCol w:w="146"/>
        <w:gridCol w:w="676"/>
        <w:gridCol w:w="146"/>
        <w:gridCol w:w="146"/>
        <w:gridCol w:w="146"/>
        <w:gridCol w:w="676"/>
        <w:gridCol w:w="14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3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w:t>
            </w:r>
          </w:p>
        </w:tc>
        <w:tc>
          <w:tcPr>
            <w:tcW w:w="146"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plan stock options outstanding</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17,621</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plan stock options early exercised</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 outstanding</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6,475</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shares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4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issuable pursuant to the ESPP</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(11) Restructuring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April 2023, the Company authorized a restructuring plan (the “Restructuring Plan”) to reduce its global workforce to improve operational efficiencies and reduce operating costs. In connection with this reduction in workforce, the Company incurred non-recurring charges of $8.2</w:t>
      </w:r>
      <w:r>
        <w:rPr>
          <w:rFonts w:ascii="Times New Roman" w:hAnsi="Times New Roman"/>
          <w:sz w:val="20"/>
        </w:rPr>
        <w:t xml:space="preserve"> </w:t>
      </w:r>
      <w:r>
        <w:rPr>
          <w:rFonts w:ascii="Times New Roman;serif" w:hAnsi="Times New Roman;serif"/>
          <w:b w:val="false"/>
          <w:sz w:val="20"/>
        </w:rPr>
        <w:t>million related to employee transition, severance payments, employee benefits, and stock-based compensation, with all of the charges being incurred during the three months ended June 30,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amounts are included in “Restructuring and other related charges” within our condensed consolidated statements of operations and comprehensive loss as they are incurred.</w:t>
      </w:r>
    </w:p>
    <w:p>
      <w:pPr>
        <w:pStyle w:val="TextBody"/>
        <w:bidi w:val="0"/>
        <w:spacing w:before="120" w:after="0"/>
        <w:jc w:val="left"/>
        <w:rPr>
          <w:rFonts w:ascii="Times New Roman" w:hAnsi="Times New Roman"/>
          <w:sz w:val="20"/>
        </w:rPr>
      </w:pPr>
      <w:r>
        <w:rPr>
          <w:rFonts w:ascii="Times New Roman;serif" w:hAnsi="Times New Roman;serif"/>
          <w:b w:val="false"/>
          <w:sz w:val="20"/>
        </w:rPr>
        <w:t>The condensed consolidated balance sheet as of June 30, 2023 includes $3.4</w:t>
      </w:r>
      <w:r>
        <w:rPr>
          <w:rFonts w:ascii="Times New Roman" w:hAnsi="Times New Roman"/>
          <w:sz w:val="20"/>
        </w:rPr>
        <w:t xml:space="preserve"> </w:t>
      </w:r>
      <w:r>
        <w:rPr>
          <w:rFonts w:ascii="Times New Roman;serif" w:hAnsi="Times New Roman;serif"/>
          <w:b w:val="false"/>
          <w:sz w:val="20"/>
        </w:rPr>
        <w:t>million of restructuring costs that are classified in accrued expenses.</w:t>
      </w:r>
    </w:p>
    <w:p>
      <w:pPr>
        <w:pStyle w:val="TextBody"/>
        <w:bidi w:val="0"/>
        <w:spacing w:before="120" w:after="0"/>
        <w:jc w:val="left"/>
        <w:rPr/>
      </w:pPr>
      <w:r>
        <w:rPr/>
        <w:t> </w:t>
      </w:r>
    </w:p>
    <w:tbl>
      <w:tblPr>
        <w:tblW w:w="7963" w:type="dxa"/>
        <w:jc w:val="left"/>
        <w:tblInd w:w="0" w:type="dxa"/>
        <w:tblLayout w:type="fixed"/>
        <w:tblCellMar>
          <w:top w:w="28" w:type="dxa"/>
          <w:left w:w="28" w:type="dxa"/>
          <w:bottom w:w="28" w:type="dxa"/>
          <w:right w:w="28" w:type="dxa"/>
        </w:tblCellMar>
      </w:tblPr>
      <w:tblGrid>
        <w:gridCol w:w="3421"/>
        <w:gridCol w:w="146"/>
        <w:gridCol w:w="1047"/>
        <w:gridCol w:w="3138"/>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Accrued restructuring and other related charges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 as of January 1, 2023</w:t>
            </w:r>
          </w:p>
        </w:tc>
        <w:tc>
          <w:tcPr>
            <w:tcW w:w="146"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3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Accruals</w:t>
            </w:r>
          </w:p>
        </w:tc>
        <w:tc>
          <w:tcPr>
            <w:tcW w:w="146"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left"/>
              <w:rPr/>
            </w:pPr>
            <w:r>
              <w:rPr/>
              <w:t> </w:t>
            </w:r>
          </w:p>
        </w:tc>
        <w:tc>
          <w:tcPr>
            <w:tcW w:w="31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7,224</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vAlign w:val="center"/>
          </w:tcPr>
          <w:p>
            <w:pPr>
              <w:pStyle w:val="TableContents"/>
              <w:bidi w:val="0"/>
              <w:spacing w:before="0" w:after="0"/>
              <w:ind w:left="0" w:right="0" w:hanging="0"/>
              <w:jc w:val="right"/>
              <w:rPr/>
            </w:pPr>
            <w:r>
              <w:rPr/>
              <w:t> </w:t>
            </w:r>
          </w:p>
        </w:tc>
        <w:tc>
          <w:tcPr>
            <w:tcW w:w="10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 as of June 30, 2023</w:t>
            </w:r>
          </w:p>
        </w:tc>
        <w:tc>
          <w:tcPr>
            <w:tcW w:w="146" w:type="dxa"/>
            <w:tcBorders/>
            <w:vAlign w:val="center"/>
          </w:tcPr>
          <w:p>
            <w:pPr>
              <w:pStyle w:val="TableContents"/>
              <w:bidi w:val="0"/>
              <w:spacing w:before="0" w:after="0"/>
              <w:ind w:left="0" w:right="0" w:hanging="0"/>
              <w:jc w:val="right"/>
              <w:rPr/>
            </w:pPr>
            <w:r>
              <w:rPr/>
              <w:t> </w:t>
            </w:r>
          </w:p>
        </w:tc>
        <w:tc>
          <w:tcPr>
            <w:tcW w:w="10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(12) Subsequent Events</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2023, the Company issued 0.3</w:t>
      </w:r>
      <w:r>
        <w:rPr>
          <w:rFonts w:ascii="Times New Roman" w:hAnsi="Times New Roman"/>
          <w:sz w:val="20"/>
        </w:rPr>
        <w:t xml:space="preserve"> </w:t>
      </w:r>
      <w:r>
        <w:rPr>
          <w:rFonts w:ascii="Times New Roman;serif" w:hAnsi="Times New Roman;serif"/>
          <w:b w:val="false"/>
          <w:sz w:val="20"/>
        </w:rPr>
        <w:t>million RSUs to its employees with service-based vesting conditions. The service-based vesting condition for the majority of these awards are satisfied over three years. The grant date fair value of the RSUs issued in July 2023 was approximately $4.0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11" w:name="i_item2"/>
      <w:bookmarkEnd w:id="11"/>
      <w:r>
        <w:rPr>
          <w:rFonts w:ascii="Times New Roman;serif" w:hAnsi="Times New Roman;serif"/>
          <w:b/>
          <w:sz w:val="20"/>
        </w:rPr>
        <w:t>Item 2. Management’s Discussion and Analysis of Financial Condition and Results of Operations.</w:t>
      </w:r>
      <w:r>
        <w:rPr>
          <w:rFonts w:ascii="Times New Roman" w:hAnsi="Times New Roman"/>
          <w:caps/>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2022 (the “2022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Unless the context otherwise requires, all references in this report to “Amplitude,” the “Company,” “we,” “our,” “us,” or similar terms refer to Amplitude, Inc. and its subsidiaries.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Amplitude is a leading Digital Analytics Platform that provides self-service visibility into the entire customer journey. With Amplitude, organizations can build amazing product experiences, drive revenue growth, and win their categories. We work with over 2,300 paying customers of various sizes and stages of digital maturity, across many industries, including the teams behind some of the most-beloved digital products in the world. We have experienced significant growth in recent years, with approximately 700 employees in seven global offices.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solution. Consistently ranked #1 in multiple categories by G2, Amplitude Analytics provides real-time product data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pStyle w:val="TextBody"/>
        <w:bidi w:val="0"/>
        <w:spacing w:before="360" w:after="0"/>
        <w:jc w:val="left"/>
        <w:rPr>
          <w:rFonts w:ascii="Times New Roman" w:hAnsi="Times New Roman"/>
          <w:sz w:val="20"/>
        </w:rPr>
      </w:pPr>
      <w:r>
        <w:rPr>
          <w:rFonts w:ascii="Times New Roman;serif" w:hAnsi="Times New Roman;serif"/>
          <w:b/>
          <w:sz w:val="20"/>
        </w:rPr>
        <w:t>Key Factors Affecting Our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Customer Acquisition and Expansion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and 2022, we had 2,344 and 1,836 paying customers, respectively, representing an increase of 28% year-over-year. Our relationship with some of the world’s most beloved product-led companies has resulted in increased brand credibility and access to many attractive growth opportunities.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been successful at efficiently growing our customer spend over time as evidenced by our dollar-based net retention rates. As of June 30, 2023 and 2022, our dollar-based net retention rate for the trailing twelve months was 108% and 126%, respectively, for paying customers. Additionally, our ending dollar-based net retention rate for paying customers as of June 30, 2023 and 2022, was 101% and 118%, respectively. We continue to increase the number of customers who have entered and grown into larger subscriptions with us.</w:t>
      </w:r>
    </w:p>
    <w:p>
      <w:pPr>
        <w:pStyle w:val="TextBody"/>
        <w:bidi w:val="0"/>
        <w:spacing w:before="360" w:after="0"/>
        <w:jc w:val="left"/>
        <w:rPr>
          <w:rFonts w:ascii="Times New Roman" w:hAnsi="Times New Roman"/>
          <w:sz w:val="20"/>
        </w:rPr>
      </w:pPr>
      <w:r>
        <w:rPr>
          <w:rFonts w:ascii="Times New Roman;serif" w:hAnsi="Times New Roman;serif"/>
          <w:b/>
          <w:i/>
          <w:sz w:val="20"/>
        </w:rPr>
        <w:t>Investments in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bolster our</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predictive analytics and data instrumentation capabilities. Going forward, we may pursue both strategic partnerships and acquisitions that we believe will be complementary to our business, accelerate customer acquisition, increase usage of our platform, and/or expand our product offerings in our core markets.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Investing for Growth</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investment for growth encompasses multiple critical areas, including product expansion, our sales force, sales support, partner ecosystem, and our international presence. We continue to evolve our technology to ensure that we are best serving our customers’ needs. We believe this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to increase in dollar amount, and although we believe these expenses as a percentage of revenue will decrease over the longer term, these expenses as a percentage of revenue could increase in the short term.</w:t>
      </w:r>
    </w:p>
    <w:p>
      <w:pPr>
        <w:pStyle w:val="TextBody"/>
        <w:bidi w:val="0"/>
        <w:spacing w:before="240" w:after="0"/>
        <w:jc w:val="left"/>
        <w:rPr>
          <w:rFonts w:ascii="Times New Roman" w:hAnsi="Times New Roman"/>
          <w:sz w:val="20"/>
        </w:rPr>
      </w:pPr>
      <w:r>
        <w:rPr>
          <w:rFonts w:ascii="Times New Roman;serif" w:hAnsi="Times New Roman;serif"/>
          <w:b w:val="false"/>
          <w:sz w:val="20"/>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increase in dollar amount over time, and although we believe these expenses as a percentage of revenue will decrease over the longer term, these expenses as a percentage of revenue could increase in the short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Finally, we see opportunities to expand offices and headcount internationally to better service targeted international markets where we believe we have significant opportunity to accelerate existing traction and success. For the three and six months ended June 30, 2023, 39% of our revenue was generated outside the United States, respectively. As we seek to expand our business globally, we may be adversely affected by global economic and political instability. For example, as a result of the Russia-Ukraine war, we terminated certain relationships with customers in Russia and some of the businesses of our customers in the impacted regions have experienced disruptions that have affected their ability to pay for our services. See “Risk Factors–Risks Related to Our Business and Industry–Our operations are international in scope, and we plan further geographical expansion, creating a variety of operational challenges.”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Key Business Metrics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r>
        <w:rPr>
          <w:rFonts w:ascii="Times New Roman" w:hAnsi="Times New Roman"/>
          <w:sz w:val="20"/>
        </w:rPr>
        <w:t xml:space="preserve"> </w:t>
      </w:r>
    </w:p>
    <w:tbl>
      <w:tblPr>
        <w:tblW w:w="7136" w:type="dxa"/>
        <w:jc w:val="left"/>
        <w:tblInd w:w="0" w:type="dxa"/>
        <w:tblLayout w:type="fixed"/>
        <w:tblCellMar>
          <w:top w:w="28" w:type="dxa"/>
          <w:left w:w="28" w:type="dxa"/>
          <w:bottom w:w="28" w:type="dxa"/>
          <w:right w:w="28" w:type="dxa"/>
        </w:tblCellMar>
      </w:tblPr>
      <w:tblGrid>
        <w:gridCol w:w="3376"/>
        <w:gridCol w:w="146"/>
        <w:gridCol w:w="211"/>
        <w:gridCol w:w="571"/>
        <w:gridCol w:w="271"/>
        <w:gridCol w:w="146"/>
        <w:gridCol w:w="211"/>
        <w:gridCol w:w="571"/>
        <w:gridCol w:w="271"/>
        <w:gridCol w:w="146"/>
        <w:gridCol w:w="12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YoY Growth</w:t>
            </w:r>
          </w:p>
        </w:tc>
      </w:tr>
      <w:tr>
        <w:trPr/>
        <w:tc>
          <w:tcPr>
            <w:tcW w:w="3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8" w:type="dxa"/>
            <w:gridSpan w:val="8"/>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(dollar values in millions)</w:t>
            </w:r>
          </w:p>
        </w:tc>
        <w:tc>
          <w:tcPr>
            <w:tcW w:w="1216"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Paying Customers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28%</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Annual Recurring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18%</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Dollar-Based Net Retention Rate (TTM)</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216"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Paying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Annual Recurring Revenue</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annual recurring revenue (“ARR”) as the annual recurring revenue of subscription agreements, including certain premium professional services that are subject to contractual subscription terms, at a point in time based on the terms of customers’ contracts. ARR should be viewed independently of revenue, and does not represent our U.S. GAAP revenue on an annualized basis, as it is an operating metric that can be impacted by contract start and end dates and renewal rates. ARR is also not intended to be a forecast of revenue.</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Dollar-Based Net Retention Rate</w:t>
      </w:r>
    </w:p>
    <w:p>
      <w:pPr>
        <w:pStyle w:val="TextBody"/>
        <w:bidi w:val="0"/>
        <w:spacing w:before="120" w:after="0"/>
        <w:jc w:val="left"/>
        <w:rPr>
          <w:rFonts w:ascii="Times New Roman" w:hAnsi="Times New Roman"/>
          <w:sz w:val="20"/>
        </w:rPr>
      </w:pPr>
      <w:r>
        <w:rPr>
          <w:rFonts w:ascii="Times New Roman;serif" w:hAnsi="Times New Roman;serif"/>
          <w:b w:val="false"/>
          <w:sz w:val="20"/>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weighted average of the trailing 12-month dollar-based net retention rates, to arrive at the dollar-based net retention rate (“NRR (TTM)”).</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Restructuring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April 2023, we authorized a restructuring plan (the “Restructuring Plan”) to reduce our global workforce by approximately 13% to improve operational efficiencies and reduce operating costs. We do not expect to incur additional expenses of any significance related to the Restructuring Plan in future periods.</w:t>
      </w:r>
    </w:p>
    <w:p>
      <w:pPr>
        <w:pStyle w:val="TextBody"/>
        <w:bidi w:val="0"/>
        <w:spacing w:before="360" w:after="0"/>
        <w:jc w:val="left"/>
        <w:rPr>
          <w:rFonts w:ascii="Times New Roman" w:hAnsi="Times New Roman"/>
          <w:sz w:val="20"/>
        </w:rPr>
      </w:pPr>
      <w:r>
        <w:rPr>
          <w:rFonts w:ascii="Times New Roman;serif" w:hAnsi="Times New Roman;serif"/>
          <w:b/>
          <w:sz w:val="20"/>
        </w:rPr>
        <w:t>Non-GAAP Financial Measures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r>
        <w:rPr>
          <w:rFonts w:ascii="Times New Roman" w:hAnsi="Times New Roman"/>
          <w:sz w:val="20"/>
        </w:rPr>
        <w:t xml:space="preserve"> </w:t>
      </w:r>
    </w:p>
    <w:tbl>
      <w:tblPr>
        <w:tblW w:w="10017" w:type="dxa"/>
        <w:jc w:val="left"/>
        <w:tblInd w:w="0" w:type="dxa"/>
        <w:tblLayout w:type="fixed"/>
        <w:tblCellMar>
          <w:top w:w="28" w:type="dxa"/>
          <w:left w:w="28" w:type="dxa"/>
          <w:bottom w:w="28" w:type="dxa"/>
          <w:right w:w="28" w:type="dxa"/>
        </w:tblCellMar>
      </w:tblPr>
      <w:tblGrid>
        <w:gridCol w:w="4231"/>
        <w:gridCol w:w="146"/>
        <w:gridCol w:w="211"/>
        <w:gridCol w:w="736"/>
        <w:gridCol w:w="331"/>
        <w:gridCol w:w="146"/>
        <w:gridCol w:w="211"/>
        <w:gridCol w:w="736"/>
        <w:gridCol w:w="331"/>
        <w:gridCol w:w="146"/>
        <w:gridCol w:w="211"/>
        <w:gridCol w:w="781"/>
        <w:gridCol w:w="331"/>
        <w:gridCol w:w="146"/>
        <w:gridCol w:w="211"/>
        <w:gridCol w:w="736"/>
        <w:gridCol w:w="37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4" w:type="dxa"/>
            <w:gridSpan w:val="14"/>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376" w:type="dxa"/>
            <w:tcBorders/>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50,587</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41,070</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97,877</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78,072</w:t>
            </w:r>
          </w:p>
        </w:tc>
        <w:tc>
          <w:tcPr>
            <w:tcW w:w="37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52,544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43,233</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102,048</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81,646</w:t>
            </w:r>
          </w:p>
        </w:tc>
        <w:tc>
          <w:tcPr>
            <w:tcW w:w="37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(30,887</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(24,583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(60,060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(46,574</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(8,999</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(16,725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Loss from Operations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20,406</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10,642</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15,345</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2,353</w:t>
            </w:r>
          </w:p>
        </w:tc>
        <w:tc>
          <w:tcPr>
            <w:tcW w:w="376" w:type="dxa"/>
            <w:tcBorders/>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19,315</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8,161</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13,477</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360" w:after="0"/>
        <w:jc w:val="left"/>
        <w:rPr>
          <w:rFonts w:ascii="Times New Roman" w:hAnsi="Times New Roman"/>
          <w:sz w:val="20"/>
        </w:rPr>
      </w:pPr>
      <w:r>
        <w:rPr>
          <w:rFonts w:ascii="Times New Roman;serif" w:hAnsi="Times New Roman;serif"/>
          <w:b/>
          <w:i/>
          <w:sz w:val="20"/>
        </w:rPr>
        <w:t>Non-GAAP Gross Profit, Non-GAAP Gross Margin, Non-GAAP Loss from Operations, and Non-GAAP Loss from Operations Margin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pStyle w:val="TextBody"/>
        <w:bidi w:val="0"/>
        <w:spacing w:before="240" w:after="0"/>
        <w:jc w:val="left"/>
        <w:rPr>
          <w:rFonts w:ascii="Times New Roman" w:hAnsi="Times New Roman"/>
          <w:sz w:val="20"/>
        </w:rPr>
      </w:pPr>
      <w:r>
        <w:rPr>
          <w:rFonts w:ascii="Times New Roman;serif" w:hAnsi="Times New Roman;serif"/>
          <w:b w:val="false"/>
          <w:sz w:val="20"/>
        </w:rPr>
        <w:t>We define non-GAAP loss from operations and non-GAAP loss from operations margin as U.S. GAAP loss from operations and U.S. GAAP loss from operations margin, respectively, excluding stock-based compensation expense and related employer payroll taxes, amortization of acquired intangible assets, and non-recurring costs such as restructuring and other related charges. Non-GAAP loss from operations margin is calculated as non-GAAP loss from operations divided by total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intangible assets contribute to our revenue generation. We exclude non-recurring costs from certain of our non-GAAP financial measures because such expenses do not repeat period over period and are not reflective of the ongoing operation of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use non-GAAP gross margin and non-GAAP loss from operations margin in conjunction with traditional U.S. GAAP measures to evaluate our financial performance. We believe that non-GAAP gross margin and non-GAAP loss from operations margin provide our management and investors consistency and comparability with our past financial performance and facilitates period-to-period comparisons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Free Cash Flow and Free Cash Flow Margin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free cash flow as net cash provided by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Limitations and Reconciliations of Non-GAAP Financial Measures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tables reconcile the most directly comparable U.S. GAAP financial measure to each of these non-GAAP financial measures.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Non-GAAP Gross Profit and Gross Margin</w:t>
      </w:r>
      <w:r>
        <w:rPr>
          <w:rFonts w:ascii="Times New Roman" w:hAnsi="Times New Roman"/>
          <w:sz w:val="20"/>
        </w:rPr>
        <w:t xml:space="preserve"> </w:t>
      </w:r>
    </w:p>
    <w:p>
      <w:pPr>
        <w:pStyle w:val="TextBody"/>
        <w:bidi w:val="0"/>
        <w:spacing w:before="0" w:after="0"/>
        <w:jc w:val="left"/>
        <w:rPr/>
      </w:pPr>
      <w:r>
        <w:rPr/>
        <w:t> </w:t>
      </w:r>
    </w:p>
    <w:tbl>
      <w:tblPr>
        <w:tblW w:w="8712" w:type="dxa"/>
        <w:jc w:val="left"/>
        <w:tblInd w:w="0" w:type="dxa"/>
        <w:tblLayout w:type="fixed"/>
        <w:tblCellMar>
          <w:top w:w="28" w:type="dxa"/>
          <w:left w:w="28" w:type="dxa"/>
          <w:bottom w:w="28" w:type="dxa"/>
          <w:right w:w="28" w:type="dxa"/>
        </w:tblCellMar>
      </w:tblPr>
      <w:tblGrid>
        <w:gridCol w:w="3346"/>
        <w:gridCol w:w="146"/>
        <w:gridCol w:w="211"/>
        <w:gridCol w:w="676"/>
        <w:gridCol w:w="271"/>
        <w:gridCol w:w="146"/>
        <w:gridCol w:w="211"/>
        <w:gridCol w:w="676"/>
        <w:gridCol w:w="271"/>
        <w:gridCol w:w="146"/>
        <w:gridCol w:w="211"/>
        <w:gridCol w:w="781"/>
        <w:gridCol w:w="271"/>
        <w:gridCol w:w="146"/>
        <w:gridCol w:w="211"/>
        <w:gridCol w:w="676"/>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04" w:type="dxa"/>
            <w:gridSpan w:val="14"/>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316" w:type="dxa"/>
            <w:tcBorders/>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50,587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97,877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78,072</w:t>
            </w:r>
          </w:p>
        </w:tc>
        <w:tc>
          <w:tcPr>
            <w:tcW w:w="316"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Add:</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Stock-based compensation expense</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2,591</w:t>
            </w:r>
          </w:p>
        </w:tc>
        <w:tc>
          <w:tcPr>
            <w:tcW w:w="316"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intangible assets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316"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52,544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43,233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102,048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81,646</w:t>
            </w:r>
          </w:p>
        </w:tc>
        <w:tc>
          <w:tcPr>
            <w:tcW w:w="316"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80" w:after="0"/>
        <w:jc w:val="left"/>
        <w:rPr>
          <w:rFonts w:ascii="Times New Roman" w:hAnsi="Times New Roman"/>
          <w:b w:val="false"/>
          <w:sz w:val="16"/>
        </w:rPr>
      </w:pPr>
      <w:r>
        <w:rPr>
          <w:rFonts w:ascii="Times New Roman" w:hAnsi="Times New Roman"/>
          <w:b w:val="false"/>
          <w:sz w:val="16"/>
        </w:rPr>
        <w:t>(1)</w:t>
      </w:r>
    </w:p>
    <w:p>
      <w:pPr>
        <w:pStyle w:val="TextBody"/>
        <w:bidi w:val="0"/>
        <w:spacing w:before="180" w:after="283"/>
        <w:jc w:val="left"/>
        <w:rPr>
          <w:rFonts w:ascii="Times New Roman;serif" w:hAnsi="Times New Roman;serif"/>
          <w:b w:val="false"/>
          <w:sz w:val="16"/>
        </w:rPr>
      </w:pPr>
      <w:r>
        <w:rPr>
          <w:rFonts w:ascii="Times New Roman;serif" w:hAnsi="Times New Roman;serif"/>
          <w:b w:val="false"/>
          <w:sz w:val="16"/>
        </w:rPr>
        <w:t xml:space="preserve">Stock-based compensation expense-related charges include employer payroll tax-related expenses on employee stock transactions.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Non-GAAP Loss From Operations and Loss From Operations Margin</w:t>
      </w:r>
      <w:r>
        <w:rPr>
          <w:rFonts w:ascii="Times New Roman" w:hAnsi="Times New Roman"/>
          <w:sz w:val="20"/>
        </w:rPr>
        <w:t xml:space="preserve"> </w:t>
      </w:r>
    </w:p>
    <w:tbl>
      <w:tblPr>
        <w:tblW w:w="9192" w:type="dxa"/>
        <w:jc w:val="left"/>
        <w:tblInd w:w="0" w:type="dxa"/>
        <w:tblLayout w:type="fixed"/>
        <w:tblCellMar>
          <w:top w:w="28" w:type="dxa"/>
          <w:left w:w="28" w:type="dxa"/>
          <w:bottom w:w="28" w:type="dxa"/>
          <w:right w:w="28" w:type="dxa"/>
        </w:tblCellMar>
      </w:tblPr>
      <w:tblGrid>
        <w:gridCol w:w="3451"/>
        <w:gridCol w:w="146"/>
        <w:gridCol w:w="211"/>
        <w:gridCol w:w="736"/>
        <w:gridCol w:w="331"/>
        <w:gridCol w:w="146"/>
        <w:gridCol w:w="211"/>
        <w:gridCol w:w="736"/>
        <w:gridCol w:w="331"/>
        <w:gridCol w:w="146"/>
        <w:gridCol w:w="211"/>
        <w:gridCol w:w="736"/>
        <w:gridCol w:w="331"/>
        <w:gridCol w:w="146"/>
        <w:gridCol w:w="211"/>
        <w:gridCol w:w="736"/>
        <w:gridCol w:w="37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19" w:type="dxa"/>
            <w:gridSpan w:val="14"/>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376"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(30,887</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(24,583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(60,060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(46,574</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Add:</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Stock-based compensation expense</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21,579</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15,090</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42,433</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28,866</w:t>
            </w:r>
          </w:p>
        </w:tc>
        <w:tc>
          <w:tcPr>
            <w:tcW w:w="37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intangible assets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37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and other related charges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(8,999</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(16,725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Loss from Operations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jc w:val="left"/>
        <w:rPr/>
      </w:pPr>
      <w:r>
        <w:rPr>
          <w:rFonts w:ascii="Times New Roman;serif" w:hAnsi="Times New Roman;serif"/>
          <w:b w:val="false"/>
          <w:sz w:val="16"/>
        </w:rPr>
        <w:t xml:space="preserve">Stock-based compensation expense-related charges include employer payroll tax-related expenses on employee stock transactions, but exclude stock-based compensation costs included in </w:t>
      </w:r>
      <w:r>
        <w:rPr>
          <w:rFonts w:ascii="Times New Roman;serif" w:hAnsi="Times New Roman;serif"/>
          <w:b w:val="false"/>
          <w:i/>
          <w:sz w:val="16"/>
        </w:rPr>
        <w:t>Restructuring and other related charges</w:t>
      </w:r>
      <w:r>
        <w:rPr>
          <w:rFonts w:ascii="Times New Roman;serif" w:hAnsi="Times New Roman;serif"/>
          <w:b w:val="false"/>
          <w:sz w:val="16"/>
        </w:rPr>
        <w:t>.</w:t>
      </w:r>
    </w:p>
    <w:p>
      <w:pPr>
        <w:pStyle w:val="TextBody"/>
        <w:bidi w:val="0"/>
        <w:spacing w:before="360" w:after="0"/>
        <w:jc w:val="left"/>
        <w:rPr>
          <w:rFonts w:ascii="Times New Roman" w:hAnsi="Times New Roman"/>
          <w:sz w:val="20"/>
        </w:rPr>
      </w:pPr>
      <w:r>
        <w:rPr>
          <w:rFonts w:ascii="Times New Roman;serif" w:hAnsi="Times New Roman;serif"/>
          <w:b/>
          <w:i/>
          <w:sz w:val="20"/>
        </w:rPr>
        <w:t>Free Cash Flow and Free Cash Flow Margin</w:t>
      </w:r>
      <w:r>
        <w:rPr>
          <w:rFonts w:ascii="Times New Roman" w:hAnsi="Times New Roman"/>
          <w:sz w:val="20"/>
        </w:rPr>
        <w:t xml:space="preserve"> </w:t>
      </w:r>
    </w:p>
    <w:p>
      <w:pPr>
        <w:pStyle w:val="TextBody"/>
        <w:bidi w:val="0"/>
        <w:spacing w:before="0" w:after="0"/>
        <w:jc w:val="left"/>
        <w:rPr/>
      </w:pPr>
      <w:r>
        <w:rPr/>
        <w:t> </w:t>
      </w:r>
    </w:p>
    <w:tbl>
      <w:tblPr>
        <w:tblW w:w="8952" w:type="dxa"/>
        <w:jc w:val="left"/>
        <w:tblInd w:w="0" w:type="dxa"/>
        <w:tblLayout w:type="fixed"/>
        <w:tblCellMar>
          <w:top w:w="28" w:type="dxa"/>
          <w:left w:w="28" w:type="dxa"/>
          <w:bottom w:w="28" w:type="dxa"/>
          <w:right w:w="28" w:type="dxa"/>
        </w:tblCellMar>
      </w:tblPr>
      <w:tblGrid>
        <w:gridCol w:w="3676"/>
        <w:gridCol w:w="146"/>
        <w:gridCol w:w="211"/>
        <w:gridCol w:w="676"/>
        <w:gridCol w:w="271"/>
        <w:gridCol w:w="146"/>
        <w:gridCol w:w="211"/>
        <w:gridCol w:w="676"/>
        <w:gridCol w:w="271"/>
        <w:gridCol w:w="146"/>
        <w:gridCol w:w="211"/>
        <w:gridCol w:w="676"/>
        <w:gridCol w:w="271"/>
        <w:gridCol w:w="146"/>
        <w:gridCol w:w="211"/>
        <w:gridCol w:w="631"/>
        <w:gridCol w:w="37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54" w:type="dxa"/>
            <w:gridSpan w:val="14"/>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376"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(3,788</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4,015</w:t>
            </w:r>
          </w:p>
        </w:tc>
        <w:tc>
          <w:tcPr>
            <w:tcW w:w="376"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20,406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2,353</w:t>
            </w:r>
          </w:p>
        </w:tc>
        <w:tc>
          <w:tcPr>
            <w:tcW w:w="376"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Less: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Capitalization of internal-use software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19,315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13,477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Gross Profit and Gross Margin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operating expenses consist of research and development, sales and marketing, and general and administrative expenses. Personnel and 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pStyle w:val="TextBody"/>
        <w:bidi w:val="0"/>
        <w:spacing w:before="360" w:after="0"/>
        <w:jc w:val="left"/>
        <w:rPr>
          <w:rFonts w:ascii="Times New Roman" w:hAnsi="Times New Roman"/>
          <w:sz w:val="20"/>
        </w:rPr>
      </w:pPr>
      <w:r>
        <w:rPr>
          <w:rFonts w:ascii="Times New Roman;serif" w:hAnsi="Times New Roman;serif"/>
          <w:b/>
          <w:i/>
          <w:sz w:val="20"/>
        </w:rPr>
        <w:t>Research and Development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continue to increase in dollar amount but to decrease as a percentage of revenue over the longer term, although the percentage may fluctuate from quarter to quarter depending on the extent and timing of product development initiatives. In the short term, research and development costs could increase as a percentage of revenue.</w:t>
      </w:r>
    </w:p>
    <w:p>
      <w:pPr>
        <w:pStyle w:val="TextBody"/>
        <w:bidi w:val="0"/>
        <w:spacing w:before="360" w:after="0"/>
        <w:jc w:val="left"/>
        <w:rPr>
          <w:rFonts w:ascii="Times New Roman" w:hAnsi="Times New Roman"/>
          <w:sz w:val="20"/>
        </w:rPr>
      </w:pPr>
      <w:r>
        <w:rPr>
          <w:rFonts w:ascii="Times New Roman;serif" w:hAnsi="Times New Roman;serif"/>
          <w:b/>
          <w:i/>
          <w:sz w:val="20"/>
        </w:rPr>
        <w:t>Sales and Marketing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although the percentage may fluctuate from quarter to quarter depending on the extent and timing of our marketing initiatives. In the short term, sales and marketing costs could increase as a percentage of revenue.</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General and Administrative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As a result, we expect our general and administrative expenses to continue to increase in dollar amount over time but to generally decrease as a percentage of our revenue over the longer term, although the percentage may fluctuate from period to period depending on the timing and amount of our general and administrative expenses, including in the short term.</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Restructuring and Other Related Charges</w:t>
      </w:r>
    </w:p>
    <w:p>
      <w:pPr>
        <w:pStyle w:val="TextBody"/>
        <w:bidi w:val="0"/>
        <w:spacing w:before="120" w:after="0"/>
        <w:jc w:val="left"/>
        <w:rPr>
          <w:rFonts w:ascii="Times New Roman" w:hAnsi="Times New Roman"/>
          <w:sz w:val="20"/>
        </w:rPr>
      </w:pPr>
      <w:r>
        <w:rPr>
          <w:rFonts w:ascii="Times New Roman;serif" w:hAnsi="Times New Roman;serif"/>
          <w:b w:val="false"/>
          <w:sz w:val="20"/>
        </w:rPr>
        <w:t>Restructuring and other related charges, related to the Restructuring Plan, consist primarily of charges related to employee transition, severance payments, employee benefits, and stock-based compensation. These expenses are not expected to recur.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(expense), net consists primarily of interest income on our cash, cash equivalents, and marketable securities holdings and foreign currency transaction gains and losses.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Provision for (Benefit from) 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$422.2 million and tax credit carryforwards of $9.1 million, net of reserves as of December 31, 2022, which begin expiring in 2032 and 2033, respectively. We expect to maintain this full valuation allowance in U.S. jurisdictions for the foreseeable future as it is not more likely than not the deferred tax assets will be realized based on our history of losses.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r>
        <w:rPr>
          <w:rFonts w:ascii="Times New Roman" w:hAnsi="Times New Roman"/>
          <w:sz w:val="20"/>
        </w:rPr>
        <w:t xml:space="preserve"> </w:t>
      </w:r>
    </w:p>
    <w:p>
      <w:pPr>
        <w:pStyle w:val="TextBody"/>
        <w:bidi w:val="0"/>
        <w:spacing w:before="0" w:after="0"/>
        <w:jc w:val="left"/>
        <w:rPr/>
      </w:pPr>
      <w:r>
        <w:rPr/>
        <w:t> </w:t>
      </w:r>
    </w:p>
    <w:tbl>
      <w:tblPr>
        <w:tblW w:w="10122" w:type="dxa"/>
        <w:jc w:val="left"/>
        <w:tblInd w:w="0" w:type="dxa"/>
        <w:tblLayout w:type="fixed"/>
        <w:tblCellMar>
          <w:top w:w="28" w:type="dxa"/>
          <w:left w:w="28" w:type="dxa"/>
          <w:bottom w:w="28" w:type="dxa"/>
          <w:right w:w="28" w:type="dxa"/>
        </w:tblCellMar>
      </w:tblPr>
      <w:tblGrid>
        <w:gridCol w:w="4771"/>
        <w:gridCol w:w="146"/>
        <w:gridCol w:w="211"/>
        <w:gridCol w:w="736"/>
        <w:gridCol w:w="166"/>
        <w:gridCol w:w="146"/>
        <w:gridCol w:w="211"/>
        <w:gridCol w:w="736"/>
        <w:gridCol w:w="166"/>
        <w:gridCol w:w="146"/>
        <w:gridCol w:w="211"/>
        <w:gridCol w:w="781"/>
        <w:gridCol w:w="166"/>
        <w:gridCol w:w="146"/>
        <w:gridCol w:w="211"/>
        <w:gridCol w:w="781"/>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477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814" w:type="dxa"/>
            <w:gridSpan w:val="14"/>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111,195</w:t>
            </w:r>
          </w:p>
        </w:tc>
        <w:tc>
          <w:tcPr>
            <w:tcW w:w="391" w:type="dxa"/>
            <w:tcBorders/>
            <w:vAlign w:val="center"/>
          </w:tcPr>
          <w:p>
            <w:pPr>
              <w:pStyle w:val="TableContents"/>
              <w:bidi w:val="0"/>
              <w:spacing w:before="0" w:after="0"/>
              <w:ind w:left="0" w:right="0" w:hanging="0"/>
              <w:jc w:val="left"/>
              <w:rPr/>
            </w:pPr>
            <w:r>
              <w:rPr/>
              <w:t> </w:t>
            </w:r>
          </w:p>
        </w:tc>
      </w:tr>
      <w:tr>
        <w:trPr/>
        <w:tc>
          <w:tcPr>
            <w:tcW w:w="47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Cost of revenue</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78,072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firstLine="200"/>
              <w:jc w:val="center"/>
              <w:rPr/>
            </w:pPr>
            <w:r>
              <w:rPr/>
              <w:t> </w:t>
            </w:r>
          </w:p>
        </w:tc>
      </w:tr>
      <w:tr>
        <w:trPr/>
        <w:tc>
          <w:tcPr>
            <w:tcW w:w="477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Research and development</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36,807</w:t>
            </w:r>
          </w:p>
        </w:tc>
        <w:tc>
          <w:tcPr>
            <w:tcW w:w="391" w:type="dxa"/>
            <w:tcBorders/>
            <w:vAlign w:val="center"/>
          </w:tcPr>
          <w:p>
            <w:pPr>
              <w:pStyle w:val="TableContents"/>
              <w:bidi w:val="0"/>
              <w:spacing w:before="0" w:after="0"/>
              <w:ind w:left="0" w:right="0" w:firstLine="200"/>
              <w:jc w:val="left"/>
              <w:rPr/>
            </w:pPr>
            <w:r>
              <w:rPr/>
              <w:t> </w:t>
            </w:r>
          </w:p>
        </w:tc>
      </w:tr>
      <w:tr>
        <w:trPr/>
        <w:tc>
          <w:tcPr>
            <w:tcW w:w="477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Sales and marketing</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62,265</w:t>
            </w:r>
          </w:p>
        </w:tc>
        <w:tc>
          <w:tcPr>
            <w:tcW w:w="391" w:type="dxa"/>
            <w:tcBorders/>
            <w:vAlign w:val="center"/>
          </w:tcPr>
          <w:p>
            <w:pPr>
              <w:pStyle w:val="TableContents"/>
              <w:bidi w:val="0"/>
              <w:spacing w:before="0" w:after="0"/>
              <w:ind w:left="0" w:right="0" w:firstLine="200"/>
              <w:jc w:val="left"/>
              <w:rPr/>
            </w:pPr>
            <w:r>
              <w:rPr/>
              <w:t> </w:t>
            </w:r>
          </w:p>
        </w:tc>
      </w:tr>
      <w:tr>
        <w:trPr/>
        <w:tc>
          <w:tcPr>
            <w:tcW w:w="477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General and administrative</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25,574</w:t>
            </w:r>
          </w:p>
        </w:tc>
        <w:tc>
          <w:tcPr>
            <w:tcW w:w="391" w:type="dxa"/>
            <w:tcBorders/>
            <w:vAlign w:val="center"/>
          </w:tcPr>
          <w:p>
            <w:pPr>
              <w:pStyle w:val="TableContents"/>
              <w:bidi w:val="0"/>
              <w:spacing w:before="0" w:after="0"/>
              <w:ind w:left="0" w:right="0" w:firstLine="200"/>
              <w:jc w:val="left"/>
              <w:rPr/>
            </w:pPr>
            <w:r>
              <w:rPr/>
              <w:t> </w:t>
            </w:r>
          </w:p>
        </w:tc>
      </w:tr>
      <w:tr>
        <w:trPr/>
        <w:tc>
          <w:tcPr>
            <w:tcW w:w="477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Restructuring and other related charges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124,646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(46,574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Loss before 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(46,195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jc w:val="left"/>
        <w:rPr>
          <w:rFonts w:ascii="Times New Roman;serif" w:hAnsi="Times New Roman;serif"/>
          <w:b w:val="false"/>
          <w:sz w:val="16"/>
        </w:rPr>
      </w:pPr>
      <w:r>
        <w:rPr>
          <w:rFonts w:ascii="Times New Roman;serif" w:hAnsi="Times New Roman;serif"/>
          <w:b w:val="false"/>
          <w:sz w:val="16"/>
        </w:rPr>
        <w:t xml:space="preserve">Amounts include stock-based compensation expense as follows: </w:t>
      </w:r>
    </w:p>
    <w:tbl>
      <w:tblPr>
        <w:tblW w:w="8212"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2,592</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11,667</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6,445</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7,635</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and other related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28,339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sets forth the components of our condensed consolidated statements of operations and comprehensive loss data, for each of the periods presented, as a percentage of revenue.</w:t>
      </w:r>
      <w:r>
        <w:rPr>
          <w:rFonts w:ascii="Times New Roman" w:hAnsi="Times New Roman"/>
          <w:sz w:val="20"/>
        </w:rPr>
        <w:t xml:space="preserve"> </w:t>
      </w:r>
    </w:p>
    <w:p>
      <w:pPr>
        <w:pStyle w:val="TextBody"/>
        <w:bidi w:val="0"/>
        <w:spacing w:before="0" w:after="0"/>
        <w:jc w:val="left"/>
        <w:rPr/>
      </w:pPr>
      <w:r>
        <w:rPr/>
        <w:t> </w:t>
      </w:r>
    </w:p>
    <w:tbl>
      <w:tblPr>
        <w:tblW w:w="9107" w:type="dxa"/>
        <w:jc w:val="left"/>
        <w:tblInd w:w="0" w:type="dxa"/>
        <w:tblLayout w:type="fixed"/>
        <w:tblCellMar>
          <w:top w:w="28" w:type="dxa"/>
          <w:left w:w="28" w:type="dxa"/>
          <w:bottom w:w="28" w:type="dxa"/>
          <w:right w:w="28" w:type="dxa"/>
        </w:tblCellMar>
      </w:tblPr>
      <w:tblGrid>
        <w:gridCol w:w="4771"/>
        <w:gridCol w:w="146"/>
        <w:gridCol w:w="909"/>
        <w:gridCol w:w="221"/>
        <w:gridCol w:w="221"/>
        <w:gridCol w:w="523"/>
        <w:gridCol w:w="146"/>
        <w:gridCol w:w="146"/>
        <w:gridCol w:w="793"/>
        <w:gridCol w:w="192"/>
        <w:gridCol w:w="192"/>
        <w:gridCol w:w="456"/>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3"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center"/>
              <w:rPr/>
            </w:pPr>
            <w:r>
              <w:rPr/>
              <w:t> </w:t>
            </w:r>
          </w:p>
        </w:tc>
        <w:tc>
          <w:tcPr>
            <w:tcW w:w="90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221" w:type="dxa"/>
            <w:tcBorders/>
            <w:vAlign w:val="center"/>
          </w:tcPr>
          <w:p>
            <w:pPr>
              <w:pStyle w:val="TableContents"/>
              <w:bidi w:val="0"/>
              <w:spacing w:before="0" w:after="0"/>
              <w:ind w:left="0" w:right="0" w:hanging="0"/>
              <w:jc w:val="center"/>
              <w:rPr/>
            </w:pPr>
            <w:r>
              <w:rPr/>
              <w:t> </w:t>
            </w:r>
          </w:p>
        </w:tc>
        <w:tc>
          <w:tcPr>
            <w:tcW w:w="744"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192" w:type="dxa"/>
            <w:tcBorders/>
            <w:vAlign w:val="center"/>
          </w:tcPr>
          <w:p>
            <w:pPr>
              <w:pStyle w:val="TableContents"/>
              <w:bidi w:val="0"/>
              <w:spacing w:before="0" w:after="0"/>
              <w:ind w:left="0" w:right="0" w:hanging="0"/>
              <w:jc w:val="center"/>
              <w:rPr/>
            </w:pPr>
            <w:r>
              <w:rPr/>
              <w:t> </w:t>
            </w:r>
          </w:p>
        </w:tc>
        <w:tc>
          <w:tcPr>
            <w:tcW w:w="648"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100%</w:t>
            </w:r>
          </w:p>
        </w:tc>
        <w:tc>
          <w:tcPr>
            <w:tcW w:w="391" w:type="dxa"/>
            <w:tcBorders/>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27%</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75%</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center"/>
              <w:rPr/>
            </w:pPr>
            <w:r>
              <w:rPr/>
              <w:t> </w:t>
            </w:r>
          </w:p>
        </w:tc>
        <w:tc>
          <w:tcPr>
            <w:tcW w:w="74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92" w:type="dxa"/>
            <w:tcBorders/>
            <w:vAlign w:val="center"/>
          </w:tcPr>
          <w:p>
            <w:pPr>
              <w:pStyle w:val="TableContents"/>
              <w:bidi w:val="0"/>
              <w:spacing w:before="0" w:after="0"/>
              <w:ind w:left="0" w:right="0" w:hanging="0"/>
              <w:jc w:val="center"/>
              <w:rPr/>
            </w:pPr>
            <w:r>
              <w:rPr/>
              <w:t> </w:t>
            </w:r>
          </w:p>
        </w:tc>
        <w:tc>
          <w:tcPr>
            <w:tcW w:w="648"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firstLine="200"/>
              <w:jc w:val="center"/>
              <w:rPr/>
            </w:pPr>
            <w:r>
              <w:rPr/>
              <w:t> </w:t>
            </w:r>
          </w:p>
        </w:tc>
      </w:tr>
      <w:tr>
        <w:trPr/>
        <w:tc>
          <w:tcPr>
            <w:tcW w:w="47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w:t>
            </w:r>
          </w:p>
        </w:tc>
        <w:tc>
          <w:tcPr>
            <w:tcW w:w="221" w:type="dxa"/>
            <w:tcBorders/>
            <w:vAlign w:val="center"/>
          </w:tcPr>
          <w:p>
            <w:pPr>
              <w:pStyle w:val="TableContents"/>
              <w:bidi w:val="0"/>
              <w:spacing w:before="0" w:after="0"/>
              <w:ind w:left="0" w:right="0" w:hanging="0"/>
              <w:jc w:val="center"/>
              <w:rPr/>
            </w:pPr>
            <w:r>
              <w:rPr/>
              <w:t> </w:t>
            </w:r>
          </w:p>
        </w:tc>
        <w:tc>
          <w:tcPr>
            <w:tcW w:w="744"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34%</w:t>
            </w:r>
          </w:p>
        </w:tc>
        <w:tc>
          <w:tcPr>
            <w:tcW w:w="192" w:type="dxa"/>
            <w:tcBorders/>
            <w:vAlign w:val="center"/>
          </w:tcPr>
          <w:p>
            <w:pPr>
              <w:pStyle w:val="TableContents"/>
              <w:bidi w:val="0"/>
              <w:spacing w:before="0" w:after="0"/>
              <w:ind w:left="0" w:right="0" w:hanging="0"/>
              <w:jc w:val="center"/>
              <w:rPr/>
            </w:pPr>
            <w:r>
              <w:rPr/>
              <w:t> </w:t>
            </w:r>
          </w:p>
        </w:tc>
        <w:tc>
          <w:tcPr>
            <w:tcW w:w="648"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w:t>
            </w:r>
          </w:p>
        </w:tc>
        <w:tc>
          <w:tcPr>
            <w:tcW w:w="391" w:type="dxa"/>
            <w:tcBorders/>
            <w:vAlign w:val="center"/>
          </w:tcPr>
          <w:p>
            <w:pPr>
              <w:pStyle w:val="TableContents"/>
              <w:bidi w:val="0"/>
              <w:spacing w:before="0" w:after="0"/>
              <w:ind w:left="0" w:right="0" w:firstLine="200"/>
              <w:jc w:val="center"/>
              <w:rPr/>
            </w:pPr>
            <w:r>
              <w:rPr/>
              <w:t> </w:t>
            </w:r>
          </w:p>
        </w:tc>
      </w:tr>
      <w:tr>
        <w:trPr/>
        <w:tc>
          <w:tcPr>
            <w:tcW w:w="47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57%</w:t>
            </w:r>
          </w:p>
        </w:tc>
        <w:tc>
          <w:tcPr>
            <w:tcW w:w="221" w:type="dxa"/>
            <w:tcBorders/>
            <w:vAlign w:val="center"/>
          </w:tcPr>
          <w:p>
            <w:pPr>
              <w:pStyle w:val="TableContents"/>
              <w:bidi w:val="0"/>
              <w:spacing w:before="0" w:after="0"/>
              <w:ind w:left="0" w:right="0" w:hanging="0"/>
              <w:jc w:val="center"/>
              <w:rPr/>
            </w:pPr>
            <w:r>
              <w:rPr/>
              <w:t> </w:t>
            </w:r>
          </w:p>
        </w:tc>
        <w:tc>
          <w:tcPr>
            <w:tcW w:w="744"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58%</w:t>
            </w:r>
          </w:p>
        </w:tc>
        <w:tc>
          <w:tcPr>
            <w:tcW w:w="192" w:type="dxa"/>
            <w:tcBorders/>
            <w:vAlign w:val="center"/>
          </w:tcPr>
          <w:p>
            <w:pPr>
              <w:pStyle w:val="TableContents"/>
              <w:bidi w:val="0"/>
              <w:spacing w:before="0" w:after="0"/>
              <w:ind w:left="0" w:right="0" w:hanging="0"/>
              <w:jc w:val="center"/>
              <w:rPr/>
            </w:pPr>
            <w:r>
              <w:rPr/>
              <w:t> </w:t>
            </w:r>
          </w:p>
        </w:tc>
        <w:tc>
          <w:tcPr>
            <w:tcW w:w="648"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56%</w:t>
            </w:r>
          </w:p>
        </w:tc>
        <w:tc>
          <w:tcPr>
            <w:tcW w:w="391" w:type="dxa"/>
            <w:tcBorders/>
            <w:vAlign w:val="center"/>
          </w:tcPr>
          <w:p>
            <w:pPr>
              <w:pStyle w:val="TableContents"/>
              <w:bidi w:val="0"/>
              <w:spacing w:before="0" w:after="0"/>
              <w:ind w:left="0" w:right="0" w:firstLine="200"/>
              <w:jc w:val="center"/>
              <w:rPr/>
            </w:pPr>
            <w:r>
              <w:rPr/>
              <w:t> </w:t>
            </w:r>
          </w:p>
        </w:tc>
      </w:tr>
      <w:tr>
        <w:trPr/>
        <w:tc>
          <w:tcPr>
            <w:tcW w:w="47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18%</w:t>
            </w:r>
          </w:p>
        </w:tc>
        <w:tc>
          <w:tcPr>
            <w:tcW w:w="221" w:type="dxa"/>
            <w:tcBorders/>
            <w:vAlign w:val="center"/>
          </w:tcPr>
          <w:p>
            <w:pPr>
              <w:pStyle w:val="TableContents"/>
              <w:bidi w:val="0"/>
              <w:spacing w:before="0" w:after="0"/>
              <w:ind w:left="0" w:right="0" w:hanging="0"/>
              <w:jc w:val="center"/>
              <w:rPr/>
            </w:pPr>
            <w:r>
              <w:rPr/>
              <w:t> </w:t>
            </w:r>
          </w:p>
        </w:tc>
        <w:tc>
          <w:tcPr>
            <w:tcW w:w="744"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19%</w:t>
            </w:r>
          </w:p>
        </w:tc>
        <w:tc>
          <w:tcPr>
            <w:tcW w:w="192" w:type="dxa"/>
            <w:tcBorders/>
            <w:vAlign w:val="center"/>
          </w:tcPr>
          <w:p>
            <w:pPr>
              <w:pStyle w:val="TableContents"/>
              <w:bidi w:val="0"/>
              <w:spacing w:before="0" w:after="0"/>
              <w:ind w:left="0" w:right="0" w:hanging="0"/>
              <w:jc w:val="center"/>
              <w:rPr/>
            </w:pPr>
            <w:r>
              <w:rPr/>
              <w:t> </w:t>
            </w:r>
          </w:p>
        </w:tc>
        <w:tc>
          <w:tcPr>
            <w:tcW w:w="648"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23%</w:t>
            </w:r>
          </w:p>
        </w:tc>
        <w:tc>
          <w:tcPr>
            <w:tcW w:w="391" w:type="dxa"/>
            <w:tcBorders/>
            <w:vAlign w:val="center"/>
          </w:tcPr>
          <w:p>
            <w:pPr>
              <w:pStyle w:val="TableContents"/>
              <w:bidi w:val="0"/>
              <w:spacing w:before="0" w:after="0"/>
              <w:ind w:left="0" w:right="0" w:firstLine="200"/>
              <w:jc w:val="center"/>
              <w:rPr/>
            </w:pPr>
            <w:r>
              <w:rPr/>
              <w:t> </w:t>
            </w:r>
          </w:p>
        </w:tc>
      </w:tr>
      <w:tr>
        <w:trPr/>
        <w:tc>
          <w:tcPr>
            <w:tcW w:w="47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and other related charges</w:t>
            </w:r>
          </w:p>
        </w:tc>
        <w:tc>
          <w:tcPr>
            <w:tcW w:w="146" w:type="dxa"/>
            <w:tcBorders/>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120%</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118%</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112%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(46)%</w:t>
            </w:r>
          </w:p>
        </w:tc>
        <w:tc>
          <w:tcPr>
            <w:tcW w:w="221" w:type="dxa"/>
            <w:tcBorders/>
            <w:vAlign w:val="center"/>
          </w:tcPr>
          <w:p>
            <w:pPr>
              <w:pStyle w:val="TableContents"/>
              <w:bidi w:val="0"/>
              <w:spacing w:before="0" w:after="0"/>
              <w:ind w:left="0" w:right="0" w:hanging="0"/>
              <w:jc w:val="center"/>
              <w:rPr/>
            </w:pPr>
            <w:r>
              <w:rPr/>
              <w:t> </w:t>
            </w:r>
          </w:p>
        </w:tc>
        <w:tc>
          <w:tcPr>
            <w:tcW w:w="744"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(45)%</w:t>
            </w:r>
          </w:p>
        </w:tc>
        <w:tc>
          <w:tcPr>
            <w:tcW w:w="192" w:type="dxa"/>
            <w:tcBorders/>
            <w:vAlign w:val="center"/>
          </w:tcPr>
          <w:p>
            <w:pPr>
              <w:pStyle w:val="TableContents"/>
              <w:bidi w:val="0"/>
              <w:spacing w:before="0" w:after="0"/>
              <w:ind w:left="0" w:right="0" w:hanging="0"/>
              <w:jc w:val="center"/>
              <w:rPr/>
            </w:pPr>
            <w:r>
              <w:rPr/>
              <w:t> </w:t>
            </w:r>
          </w:p>
        </w:tc>
        <w:tc>
          <w:tcPr>
            <w:tcW w:w="648"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391" w:type="dxa"/>
            <w:tcBorders/>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center"/>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Loss before 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221" w:type="dxa"/>
            <w:tcBorders/>
            <w:vAlign w:val="center"/>
          </w:tcPr>
          <w:p>
            <w:pPr>
              <w:pStyle w:val="TableContents"/>
              <w:bidi w:val="0"/>
              <w:spacing w:before="0" w:after="0"/>
              <w:ind w:left="0" w:right="0" w:hanging="0"/>
              <w:jc w:val="center"/>
              <w:rPr/>
            </w:pPr>
            <w:r>
              <w:rPr/>
              <w:t> </w:t>
            </w:r>
          </w:p>
        </w:tc>
        <w:tc>
          <w:tcPr>
            <w:tcW w:w="744"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(40)%</w:t>
            </w:r>
          </w:p>
        </w:tc>
        <w:tc>
          <w:tcPr>
            <w:tcW w:w="192" w:type="dxa"/>
            <w:tcBorders/>
            <w:vAlign w:val="center"/>
          </w:tcPr>
          <w:p>
            <w:pPr>
              <w:pStyle w:val="TableContents"/>
              <w:bidi w:val="0"/>
              <w:spacing w:before="0" w:after="0"/>
              <w:ind w:left="0" w:right="0" w:hanging="0"/>
              <w:jc w:val="center"/>
              <w:rPr/>
            </w:pPr>
            <w:r>
              <w:rPr/>
              <w:t> </w:t>
            </w:r>
          </w:p>
        </w:tc>
        <w:tc>
          <w:tcPr>
            <w:tcW w:w="648"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391" w:type="dxa"/>
            <w:tcBorders/>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center"/>
              <w:rPr/>
            </w:pPr>
            <w:r>
              <w:rPr/>
              <w:t> </w:t>
            </w:r>
          </w:p>
        </w:tc>
        <w:tc>
          <w:tcPr>
            <w:tcW w:w="90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221" w:type="dxa"/>
            <w:tcBorders/>
            <w:vAlign w:val="center"/>
          </w:tcPr>
          <w:p>
            <w:pPr>
              <w:pStyle w:val="TableContents"/>
              <w:bidi w:val="0"/>
              <w:spacing w:before="0" w:after="0"/>
              <w:ind w:left="0" w:right="0" w:hanging="0"/>
              <w:jc w:val="center"/>
              <w:rPr/>
            </w:pPr>
            <w:r>
              <w:rPr/>
              <w:t> </w:t>
            </w:r>
          </w:p>
        </w:tc>
        <w:tc>
          <w:tcPr>
            <w:tcW w:w="744"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(40)%</w:t>
            </w:r>
          </w:p>
        </w:tc>
        <w:tc>
          <w:tcPr>
            <w:tcW w:w="192" w:type="dxa"/>
            <w:tcBorders/>
            <w:vAlign w:val="center"/>
          </w:tcPr>
          <w:p>
            <w:pPr>
              <w:pStyle w:val="TableContents"/>
              <w:bidi w:val="0"/>
              <w:spacing w:before="0" w:after="0"/>
              <w:ind w:left="0" w:right="0" w:hanging="0"/>
              <w:jc w:val="center"/>
              <w:rPr/>
            </w:pPr>
            <w:r>
              <w:rPr/>
              <w:t> </w:t>
            </w:r>
          </w:p>
        </w:tc>
        <w:tc>
          <w:tcPr>
            <w:tcW w:w="648"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391" w:type="dxa"/>
            <w:tcBorders/>
            <w:vAlign w:val="center"/>
          </w:tcPr>
          <w:p>
            <w:pPr>
              <w:pStyle w:val="TableContents"/>
              <w:bidi w:val="0"/>
              <w:spacing w:before="0" w:after="0"/>
              <w:ind w:left="0" w:right="0" w:hanging="0"/>
              <w:jc w:val="center"/>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16"/>
        </w:rPr>
        <w:t>* Less than 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6"/>
        </w:rPr>
        <w:t>Note: Certain figures may not sum due to rounding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Comparison of Three Months Ended June 30, 2023 to Three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p>
    <w:tbl>
      <w:tblPr>
        <w:tblW w:w="5574"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43"/>
        <w:gridCol w:w="658"/>
        <w:gridCol w:w="146"/>
        <w:gridCol w:w="146"/>
        <w:gridCol w:w="103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8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8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7" w:type="dxa"/>
            <w:gridSpan w:val="13"/>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17%</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Revenue increased $9.6 million, or 17%, during the three months ended June 30, 2023 compared to the three months ended June 30, 2022. The increase in revenue was primarily due to growth of our paying customer base of 28% and revenue generated from our existing paying customers as reflected by our NRR (TTM) of 108% as of June 30,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Cost of Revenue and Gross Margin</w:t>
      </w:r>
      <w:r>
        <w:rPr>
          <w:rFonts w:ascii="Times New Roman" w:hAnsi="Times New Roman"/>
          <w:sz w:val="20"/>
        </w:rPr>
        <w:t xml:space="preserve"> </w:t>
      </w:r>
    </w:p>
    <w:tbl>
      <w:tblPr>
        <w:tblW w:w="6379" w:type="dxa"/>
        <w:jc w:val="left"/>
        <w:tblInd w:w="0" w:type="dxa"/>
        <w:tblLayout w:type="fixed"/>
        <w:tblCellMar>
          <w:top w:w="28" w:type="dxa"/>
          <w:left w:w="28" w:type="dxa"/>
          <w:bottom w:w="28" w:type="dxa"/>
          <w:right w:w="28" w:type="dxa"/>
        </w:tblCellMar>
      </w:tblPr>
      <w:tblGrid>
        <w:gridCol w:w="1396"/>
        <w:gridCol w:w="146"/>
        <w:gridCol w:w="211"/>
        <w:gridCol w:w="676"/>
        <w:gridCol w:w="271"/>
        <w:gridCol w:w="146"/>
        <w:gridCol w:w="211"/>
        <w:gridCol w:w="676"/>
        <w:gridCol w:w="271"/>
        <w:gridCol w:w="146"/>
        <w:gridCol w:w="300"/>
        <w:gridCol w:w="601"/>
        <w:gridCol w:w="146"/>
        <w:gridCol w:w="146"/>
        <w:gridCol w:w="103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13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3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7" w:type="dxa"/>
            <w:gridSpan w:val="13"/>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17,060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Cost of revenue increased $0.1 million, or 1%, during the three months ended June 30, 2023 compared to the three months ended June 30, 2022. The increase was primarily due to an increase of $0.2 million in third-party hosting costs as we increased capacity to support paying customer usage and the growth of our paying customer base.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Gross margin increased during the three months ended June 30, 2023 compared to the three months ended June 30, 2022 mainly due to a decrease in our third-party hosting costs as a percentage of revenue.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Operating Expenses</w:t>
      </w:r>
      <w:r>
        <w:rPr>
          <w:rFonts w:ascii="Times New Roman" w:hAnsi="Times New Roman"/>
          <w:sz w:val="20"/>
        </w:rPr>
        <w:t xml:space="preserve"> </w:t>
      </w:r>
    </w:p>
    <w:tbl>
      <w:tblPr>
        <w:tblW w:w="8034"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11"/>
        <w:gridCol w:w="676"/>
        <w:gridCol w:w="146"/>
        <w:gridCol w:w="146"/>
        <w:gridCol w:w="214"/>
        <w:gridCol w:w="687"/>
        <w:gridCol w:w="146"/>
        <w:gridCol w:w="146"/>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7" w:type="dxa"/>
            <w:gridSpan w:val="13"/>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and other related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24%</w:t>
            </w:r>
          </w:p>
        </w:tc>
      </w:tr>
    </w:tbl>
    <w:p>
      <w:pPr>
        <w:pStyle w:val="TextBody"/>
        <w:bidi w:val="0"/>
        <w:spacing w:before="0" w:after="0"/>
        <w:jc w:val="left"/>
        <w:rPr>
          <w:rFonts w:ascii="Times New Roman" w:hAnsi="Times New Roman"/>
          <w:sz w:val="20"/>
        </w:rPr>
      </w:pPr>
      <w:r>
        <w:rPr>
          <w:rFonts w:ascii="Times New Roman;serif" w:hAnsi="Times New Roman;serif"/>
          <w:b w:val="false"/>
          <w:sz w:val="24"/>
        </w:rPr>
        <w:t>__________</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16"/>
        </w:rPr>
        <w:t>* Not meaningful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$2.1 million, or 10%, during the three months ended June 30, 2023 compared to the three months ended June 30, 2022. The increase was primarily due to a $2.0 million increase in stock-based compensation expenses and related payroll taxes associated with an increase in headcount and associated new hire grants.</w:t>
      </w:r>
    </w:p>
    <w:p>
      <w:pPr>
        <w:pStyle w:val="TextBody"/>
        <w:bidi w:val="0"/>
        <w:spacing w:before="360" w:after="0"/>
        <w:jc w:val="left"/>
        <w:rPr>
          <w:rFonts w:ascii="Times New Roman" w:hAnsi="Times New Roman"/>
          <w:sz w:val="20"/>
        </w:rPr>
      </w:pPr>
      <w:r>
        <w:rPr>
          <w:rFonts w:ascii="Times New Roman;serif" w:hAnsi="Times New Roman;serif"/>
          <w:b w:val="false"/>
          <w:i/>
          <w:sz w:val="20"/>
        </w:rPr>
        <w:t>Sales and Marketing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and marketing expenses increased $4.2 million, or 12%, during the three months ended June 30, 2023 compared to the three months ended June 30, 2022. The increase was primarily due to an increase of $4.4 million in stock-based compensation expenses and related payroll taxes and an increase of $1.7 million in personnel and related expenses, directly associated with an increase in headcount, including an increase in allocated overhead costs compared to the same period in the prior year. The increase was also attributable to an increase of $1.7 million in commissions related to an expansion of our customer base, contract value of deals, and sales team compared to the same period in the prior year. The increase was partially offset by a decrease of $3.8 million in marketing expenses related to expenses to support hosting of Amplify, our in-person and virtual product and growth conference held in the three months ended June 30, 2022 that was not repeated in the three months ended June 30, 2023.</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increased $1.3 million, or 12%, during the three months ended June 30, 2023 compared to the three months ended June 30, 2022. The increase was primarily attributable to an increase of $0.8 million in personnel and related expenses directly associated with an increase in headcount, including an increase in allocated overhead costs.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Restructuring and Other Related Charges</w:t>
      </w:r>
    </w:p>
    <w:p>
      <w:pPr>
        <w:pStyle w:val="TextBody"/>
        <w:bidi w:val="0"/>
        <w:spacing w:before="120" w:after="0"/>
        <w:jc w:val="left"/>
        <w:rPr>
          <w:rFonts w:ascii="Times New Roman" w:hAnsi="Times New Roman"/>
          <w:sz w:val="20"/>
        </w:rPr>
      </w:pPr>
      <w:r>
        <w:rPr>
          <w:rFonts w:ascii="Times New Roman;serif" w:hAnsi="Times New Roman;serif"/>
          <w:b w:val="false"/>
          <w:sz w:val="20"/>
        </w:rPr>
        <w:t>Restructuring and other related charges were $8.2 million during the three months ended June 30, 2023, related to charges related to employee transition, severance payments, employee benefits, and stock-based compensation. We did not have related expenses in the three months ended June 30,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tbl>
      <w:tblPr>
        <w:tblW w:w="6926" w:type="dxa"/>
        <w:jc w:val="left"/>
        <w:tblInd w:w="0" w:type="dxa"/>
        <w:tblLayout w:type="fixed"/>
        <w:tblCellMar>
          <w:top w:w="28" w:type="dxa"/>
          <w:left w:w="28" w:type="dxa"/>
          <w:bottom w:w="28" w:type="dxa"/>
          <w:right w:w="28" w:type="dxa"/>
        </w:tblCellMar>
      </w:tblPr>
      <w:tblGrid>
        <w:gridCol w:w="2386"/>
        <w:gridCol w:w="146"/>
        <w:gridCol w:w="232"/>
        <w:gridCol w:w="627"/>
        <w:gridCol w:w="160"/>
        <w:gridCol w:w="160"/>
        <w:gridCol w:w="232"/>
        <w:gridCol w:w="462"/>
        <w:gridCol w:w="146"/>
        <w:gridCol w:w="146"/>
        <w:gridCol w:w="243"/>
        <w:gridCol w:w="658"/>
        <w:gridCol w:w="146"/>
        <w:gridCol w:w="146"/>
        <w:gridCol w:w="103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center"/>
              <w:rPr/>
            </w:pPr>
            <w:r>
              <w:rPr/>
              <w:t> </w:t>
            </w:r>
          </w:p>
        </w:tc>
        <w:tc>
          <w:tcPr>
            <w:tcW w:w="6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4" w:type="dxa"/>
            <w:gridSpan w:val="13"/>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16"/>
        </w:rPr>
        <w:t>* Not meaningful</w:t>
      </w:r>
      <w:r>
        <w:rPr>
          <w:rFonts w:ascii="Times New Roman" w:hAnsi="Times New Roman"/>
          <w:sz w:val="20"/>
        </w:rPr>
        <w:t xml:space="preserve">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Other income (expense), net increased $3.0 million during the three months ended June 30, 2023 compared to the three months ended June 30, 2022. The increase was primarily related to a $3.0 million increase in interest income resulting from interest earned on the marketable securities held in the three months ended June 30, 2023 that were not held in the three months ended June 30, 2022.</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Provision for (Benefit from) Income Taxes</w:t>
      </w:r>
      <w:r>
        <w:rPr>
          <w:rFonts w:ascii="Times New Roman" w:hAnsi="Times New Roman"/>
          <w:sz w:val="20"/>
        </w:rPr>
        <w:t xml:space="preserve"> </w:t>
      </w:r>
    </w:p>
    <w:tbl>
      <w:tblPr>
        <w:tblW w:w="7997" w:type="dxa"/>
        <w:jc w:val="left"/>
        <w:tblInd w:w="0" w:type="dxa"/>
        <w:tblLayout w:type="fixed"/>
        <w:tblCellMar>
          <w:top w:w="28" w:type="dxa"/>
          <w:left w:w="28" w:type="dxa"/>
          <w:bottom w:w="28" w:type="dxa"/>
          <w:right w:w="28" w:type="dxa"/>
        </w:tblCellMar>
      </w:tblPr>
      <w:tblGrid>
        <w:gridCol w:w="3436"/>
        <w:gridCol w:w="146"/>
        <w:gridCol w:w="254"/>
        <w:gridCol w:w="507"/>
        <w:gridCol w:w="176"/>
        <w:gridCol w:w="176"/>
        <w:gridCol w:w="254"/>
        <w:gridCol w:w="507"/>
        <w:gridCol w:w="146"/>
        <w:gridCol w:w="146"/>
        <w:gridCol w:w="274"/>
        <w:gridCol w:w="627"/>
        <w:gridCol w:w="166"/>
        <w:gridCol w:w="146"/>
        <w:gridCol w:w="103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center"/>
              <w:rPr/>
            </w:pPr>
            <w:r>
              <w:rPr/>
              <w:t> </w:t>
            </w:r>
          </w:p>
        </w:tc>
        <w:tc>
          <w:tcPr>
            <w:tcW w:w="7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15" w:type="dxa"/>
            <w:gridSpan w:val="13"/>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7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center"/>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(36)%</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Provision for (benefit from) income taxes decreased $0.1 million, or 36%, during the three months ended June 30, 2023 compared to the three months ended June 30, 2022, primarily due to an international tax withholding tax refund that resulted in less foreign taxes.</w:t>
      </w:r>
    </w:p>
    <w:p>
      <w:pPr>
        <w:pStyle w:val="TextBody"/>
        <w:bidi w:val="0"/>
        <w:spacing w:before="360" w:after="0"/>
        <w:jc w:val="left"/>
        <w:rPr>
          <w:rFonts w:ascii="Times New Roman" w:hAnsi="Times New Roman"/>
          <w:sz w:val="20"/>
        </w:rPr>
      </w:pPr>
      <w:r>
        <w:rPr>
          <w:rFonts w:ascii="Times New Roman;serif" w:hAnsi="Times New Roman;serif"/>
          <w:b/>
          <w:i/>
          <w:sz w:val="20"/>
        </w:rPr>
        <w:t>Comparison of Six Months Ended June 30, 2023 to Six Months Ended June 30,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p>
    <w:tbl>
      <w:tblPr>
        <w:tblW w:w="6154" w:type="dxa"/>
        <w:jc w:val="left"/>
        <w:tblInd w:w="0" w:type="dxa"/>
        <w:tblLayout w:type="fixed"/>
        <w:tblCellMar>
          <w:top w:w="28" w:type="dxa"/>
          <w:left w:w="28" w:type="dxa"/>
          <w:bottom w:w="28" w:type="dxa"/>
          <w:right w:w="28" w:type="dxa"/>
        </w:tblCellMar>
      </w:tblPr>
      <w:tblGrid>
        <w:gridCol w:w="841"/>
        <w:gridCol w:w="146"/>
        <w:gridCol w:w="241"/>
        <w:gridCol w:w="894"/>
        <w:gridCol w:w="167"/>
        <w:gridCol w:w="167"/>
        <w:gridCol w:w="241"/>
        <w:gridCol w:w="894"/>
        <w:gridCol w:w="167"/>
        <w:gridCol w:w="167"/>
        <w:gridCol w:w="214"/>
        <w:gridCol w:w="687"/>
        <w:gridCol w:w="146"/>
        <w:gridCol w:w="146"/>
        <w:gridCol w:w="103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8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11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8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8" w:type="dxa"/>
            <w:gridSpan w:val="8"/>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9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 </w:t>
            </w:r>
          </w:p>
        </w:tc>
      </w:tr>
      <w:tr>
        <w:trPr/>
        <w:tc>
          <w:tcPr>
            <w:tcW w:w="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134,244</w:t>
            </w:r>
          </w:p>
        </w:tc>
        <w:tc>
          <w:tcPr>
            <w:tcW w:w="167"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111,195</w:t>
            </w:r>
          </w:p>
        </w:tc>
        <w:tc>
          <w:tcPr>
            <w:tcW w:w="167"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21%</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Revenue increased $23.0 million, or 21%, during the six months ended June 30, 2023 compared to the six months ended June 30, 2022. The increase in revenue was primarily due to growth of our paying customer base of 28% and revenue generated from our existing paying customers as reflected by our NRR (TTM) of 108% as of June 30,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Cost of Revenue and Gross Margin</w:t>
      </w:r>
      <w:r>
        <w:rPr>
          <w:rFonts w:ascii="Times New Roman" w:hAnsi="Times New Roman"/>
          <w:sz w:val="20"/>
        </w:rPr>
        <w:t xml:space="preserve"> </w:t>
      </w:r>
    </w:p>
    <w:tbl>
      <w:tblPr>
        <w:tblW w:w="6707" w:type="dxa"/>
        <w:jc w:val="left"/>
        <w:tblInd w:w="0" w:type="dxa"/>
        <w:tblLayout w:type="fixed"/>
        <w:tblCellMar>
          <w:top w:w="28" w:type="dxa"/>
          <w:left w:w="28" w:type="dxa"/>
          <w:bottom w:w="28" w:type="dxa"/>
          <w:right w:w="28" w:type="dxa"/>
        </w:tblCellMar>
      </w:tblPr>
      <w:tblGrid>
        <w:gridCol w:w="1396"/>
        <w:gridCol w:w="146"/>
        <w:gridCol w:w="237"/>
        <w:gridCol w:w="762"/>
        <w:gridCol w:w="305"/>
        <w:gridCol w:w="164"/>
        <w:gridCol w:w="237"/>
        <w:gridCol w:w="762"/>
        <w:gridCol w:w="305"/>
        <w:gridCol w:w="164"/>
        <w:gridCol w:w="243"/>
        <w:gridCol w:w="658"/>
        <w:gridCol w:w="146"/>
        <w:gridCol w:w="146"/>
        <w:gridCol w:w="103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13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center"/>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13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6" w:type="dxa"/>
            <w:gridSpan w:val="8"/>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9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 </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36,367</w:t>
            </w:r>
          </w:p>
        </w:tc>
        <w:tc>
          <w:tcPr>
            <w:tcW w:w="305"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center"/>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33,123</w:t>
            </w:r>
          </w:p>
        </w:tc>
        <w:tc>
          <w:tcPr>
            <w:tcW w:w="305"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center"/>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Cost of revenue increased $3.2 million, or 10%, during the six months ended June 30, 2023 compared to the six months ended June 30, 2022. The increase was primarily due to an increase of $1.0 million in personnel and related expenses and $0.9 million in increased stock-based compensation expense directly associated with an increase in headcount, including an increase in allocated overhead costs and associated new hire grants. The increase was also related to an increase of $1.0 million in third-party hosting costs as we increased capacity to support paying customer usage and the growth of our paying customer base.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gross margin increased during the six months ended June 30, 2023 compared to the six months ended June 30, 2022 mainly due to a decrease in our third-party hosting costs as a percentage of revenue.</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Operating Expenses</w:t>
      </w:r>
      <w:r>
        <w:rPr>
          <w:rFonts w:ascii="Times New Roman" w:hAnsi="Times New Roman"/>
          <w:sz w:val="20"/>
        </w:rPr>
        <w:t xml:space="preserve"> </w:t>
      </w:r>
    </w:p>
    <w:p>
      <w:pPr>
        <w:pStyle w:val="TextBody"/>
        <w:bidi w:val="0"/>
        <w:spacing w:before="0" w:after="0"/>
        <w:jc w:val="left"/>
        <w:rPr/>
      </w:pPr>
      <w:r>
        <w:rPr/>
        <w:t> </w:t>
      </w:r>
    </w:p>
    <w:tbl>
      <w:tblPr>
        <w:tblW w:w="8614" w:type="dxa"/>
        <w:jc w:val="left"/>
        <w:tblInd w:w="0" w:type="dxa"/>
        <w:tblLayout w:type="fixed"/>
        <w:tblCellMar>
          <w:top w:w="28" w:type="dxa"/>
          <w:left w:w="28" w:type="dxa"/>
          <w:bottom w:w="28" w:type="dxa"/>
          <w:right w:w="28" w:type="dxa"/>
        </w:tblCellMar>
      </w:tblPr>
      <w:tblGrid>
        <w:gridCol w:w="3301"/>
        <w:gridCol w:w="146"/>
        <w:gridCol w:w="241"/>
        <w:gridCol w:w="894"/>
        <w:gridCol w:w="167"/>
        <w:gridCol w:w="167"/>
        <w:gridCol w:w="241"/>
        <w:gridCol w:w="894"/>
        <w:gridCol w:w="167"/>
        <w:gridCol w:w="167"/>
        <w:gridCol w:w="214"/>
        <w:gridCol w:w="687"/>
        <w:gridCol w:w="146"/>
        <w:gridCol w:w="146"/>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11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8" w:type="dxa"/>
            <w:gridSpan w:val="8"/>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9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46,143</w:t>
            </w:r>
          </w:p>
        </w:tc>
        <w:tc>
          <w:tcPr>
            <w:tcW w:w="167"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36,807</w:t>
            </w:r>
          </w:p>
        </w:tc>
        <w:tc>
          <w:tcPr>
            <w:tcW w:w="167"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25%</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77,459</w:t>
            </w:r>
          </w:p>
        </w:tc>
        <w:tc>
          <w:tcPr>
            <w:tcW w:w="167"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62,265</w:t>
            </w:r>
          </w:p>
        </w:tc>
        <w:tc>
          <w:tcPr>
            <w:tcW w:w="167"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24%</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26,141</w:t>
            </w:r>
          </w:p>
        </w:tc>
        <w:tc>
          <w:tcPr>
            <w:tcW w:w="167"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25,574</w:t>
            </w:r>
          </w:p>
        </w:tc>
        <w:tc>
          <w:tcPr>
            <w:tcW w:w="167"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Restructuring and other related charges</w:t>
            </w:r>
          </w:p>
        </w:tc>
        <w:tc>
          <w:tcPr>
            <w:tcW w:w="146" w:type="dxa"/>
            <w:tcBorders/>
            <w:vAlign w:val="center"/>
          </w:tcPr>
          <w:p>
            <w:pPr>
              <w:pStyle w:val="TableContents"/>
              <w:bidi w:val="0"/>
              <w:spacing w:before="0" w:after="0"/>
              <w:ind w:left="0" w:right="0" w:hanging="0"/>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157,937</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124,646</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center"/>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27%</w:t>
            </w:r>
          </w:p>
        </w:tc>
      </w:tr>
    </w:tbl>
    <w:p>
      <w:pPr>
        <w:pStyle w:val="TextBody"/>
        <w:bidi w:val="0"/>
        <w:spacing w:before="0" w:after="0"/>
        <w:jc w:val="left"/>
        <w:rPr>
          <w:rFonts w:ascii="Times New Roman" w:hAnsi="Times New Roman"/>
          <w:sz w:val="20"/>
        </w:rPr>
      </w:pPr>
      <w:r>
        <w:rPr>
          <w:rFonts w:ascii="Times New Roman;serif" w:hAnsi="Times New Roman;serif"/>
          <w:b w:val="false"/>
          <w:sz w:val="24"/>
        </w:rPr>
        <w:t>__________</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16"/>
        </w:rPr>
        <w:t>* Not meaningful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Research and Development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$9.3 million, or 25%, during the six months ended June 30, 2023 compared to the six months ended June 30, 2022. The increase was primarily due to a $6.5 million increase in stock-based compensation expenses and related payroll taxes associated with an increase in headcount and associated new hire grants. The increase in headcount also contributed to a $2.4 million increase in personnel and related expenses, including an increase in allocated overhead costs.</w:t>
      </w:r>
    </w:p>
    <w:p>
      <w:pPr>
        <w:pStyle w:val="TextBody"/>
        <w:bidi w:val="0"/>
        <w:spacing w:before="360" w:after="0"/>
        <w:jc w:val="left"/>
        <w:rPr>
          <w:rFonts w:ascii="Times New Roman" w:hAnsi="Times New Roman"/>
          <w:sz w:val="20"/>
        </w:rPr>
      </w:pPr>
      <w:r>
        <w:rPr>
          <w:rFonts w:ascii="Times New Roman;serif" w:hAnsi="Times New Roman;serif"/>
          <w:b w:val="false"/>
          <w:i/>
          <w:sz w:val="20"/>
        </w:rPr>
        <w:t>Sales and Marketing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and marketing expenses increased $15.2 million, or 24%, during the six months ended June 30, 2023 compared to the six months ended June 30, 2022. The increase was primarily due to an increase of $6.4 million in personnel and related expenses and an increase of $7.8 million in stock-based compensation expenses and related payroll taxes directly associated with an increase in headcount, including an increase in allocated overhead costs, and associated new hire grants compared to the same period in the prior year. The increase was also attributable to an increase of $3.6 million in commissions related to an expansion of our customer base, contract value of deals, and sales team compared to the same period in the prior year. The increases were partially offset by a decrease of $3.5 million in marketing expenses related to expenses to support hosting of Amplify, our in-person and virtual product and growth conference held in the six months ended June 30, 2022 that was not repeated in the six months ended June 30, 2023.</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increased $0.6 million, or 2%, during the six months ended June 30, 2023 compared to the six months ended June 30, 2022. The increase was primarily attributable to an increase of $2.0 million in personnel and related expenses directly associated with an increase in headcount, including an increase in allocated overhead costs. The increase was partially offset by a decrease of $1.6 million in stock-based compensation expenses primarily due to non-recurring charges related to stock options incurred in the six months ended June 30, 2022 that did not recur in 2023.</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Restructuring and Other Related Charges</w:t>
      </w:r>
    </w:p>
    <w:p>
      <w:pPr>
        <w:pStyle w:val="TextBody"/>
        <w:bidi w:val="0"/>
        <w:spacing w:before="120" w:after="0"/>
        <w:jc w:val="left"/>
        <w:rPr>
          <w:rFonts w:ascii="Times New Roman" w:hAnsi="Times New Roman"/>
          <w:sz w:val="20"/>
        </w:rPr>
      </w:pPr>
      <w:r>
        <w:rPr>
          <w:rFonts w:ascii="Times New Roman;serif" w:hAnsi="Times New Roman;serif"/>
          <w:b w:val="false"/>
          <w:sz w:val="20"/>
        </w:rPr>
        <w:t>Restructuring and other related charges were $8.2 million during the six months ended June 30, 2023, related to charges related to employee transition, severance payments, employee benefits, and stock-based compensation. We did not have related expenses in the six months ended June 30,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tbl>
      <w:tblPr>
        <w:tblW w:w="7696" w:type="dxa"/>
        <w:jc w:val="left"/>
        <w:tblInd w:w="0" w:type="dxa"/>
        <w:tblLayout w:type="fixed"/>
        <w:tblCellMar>
          <w:top w:w="28" w:type="dxa"/>
          <w:left w:w="28" w:type="dxa"/>
          <w:bottom w:w="28" w:type="dxa"/>
          <w:right w:w="28" w:type="dxa"/>
        </w:tblCellMar>
      </w:tblPr>
      <w:tblGrid>
        <w:gridCol w:w="2386"/>
        <w:gridCol w:w="146"/>
        <w:gridCol w:w="310"/>
        <w:gridCol w:w="840"/>
        <w:gridCol w:w="214"/>
        <w:gridCol w:w="214"/>
        <w:gridCol w:w="310"/>
        <w:gridCol w:w="619"/>
        <w:gridCol w:w="214"/>
        <w:gridCol w:w="214"/>
        <w:gridCol w:w="183"/>
        <w:gridCol w:w="718"/>
        <w:gridCol w:w="146"/>
        <w:gridCol w:w="146"/>
        <w:gridCol w:w="103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 </w:t>
            </w:r>
          </w:p>
        </w:tc>
        <w:tc>
          <w:tcPr>
            <w:tcW w:w="9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5" w:type="dxa"/>
            <w:gridSpan w:val="8"/>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9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center"/>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6,445</w:t>
            </w:r>
          </w:p>
        </w:tc>
        <w:tc>
          <w:tcPr>
            <w:tcW w:w="214"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center"/>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214"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center"/>
              <w:rPr/>
            </w:pPr>
            <w:r>
              <w:rPr/>
              <w:t> </w:t>
            </w:r>
          </w:p>
        </w:tc>
        <w:tc>
          <w:tcPr>
            <w:tcW w:w="183"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16"/>
        </w:rPr>
        <w:t>* Not meaningful</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Other income (expense), net increased $6.1 million during the six months ended June 30, 2023 compared to the six months ended June 30, 2022. The increase was primarily related to a $6.0 million increase in interest income resulting from interest earned on the marketable securities held in the six months ended June 30, 2023 that were not held in the six months ended June 30,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Provision for (Benefit from) Income Taxes</w:t>
      </w:r>
      <w:r>
        <w:rPr>
          <w:rFonts w:ascii="Times New Roman" w:hAnsi="Times New Roman"/>
          <w:sz w:val="20"/>
        </w:rPr>
        <w:t xml:space="preserve"> </w:t>
      </w:r>
    </w:p>
    <w:tbl>
      <w:tblPr>
        <w:tblW w:w="8767" w:type="dxa"/>
        <w:jc w:val="left"/>
        <w:tblInd w:w="0" w:type="dxa"/>
        <w:tblLayout w:type="fixed"/>
        <w:tblCellMar>
          <w:top w:w="28" w:type="dxa"/>
          <w:left w:w="28" w:type="dxa"/>
          <w:bottom w:w="28" w:type="dxa"/>
          <w:right w:w="28" w:type="dxa"/>
        </w:tblCellMar>
      </w:tblPr>
      <w:tblGrid>
        <w:gridCol w:w="3436"/>
        <w:gridCol w:w="146"/>
        <w:gridCol w:w="337"/>
        <w:gridCol w:w="675"/>
        <w:gridCol w:w="233"/>
        <w:gridCol w:w="233"/>
        <w:gridCol w:w="337"/>
        <w:gridCol w:w="675"/>
        <w:gridCol w:w="223"/>
        <w:gridCol w:w="223"/>
        <w:gridCol w:w="274"/>
        <w:gridCol w:w="627"/>
        <w:gridCol w:w="166"/>
        <w:gridCol w:w="146"/>
        <w:gridCol w:w="103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3"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3" w:type="dxa"/>
            <w:tcBorders/>
            <w:vAlign w:val="center"/>
          </w:tcPr>
          <w:p>
            <w:pPr>
              <w:pStyle w:val="TableContents"/>
              <w:bidi w:val="0"/>
              <w:spacing w:before="0" w:after="0"/>
              <w:ind w:left="0" w:right="0" w:hanging="0"/>
              <w:jc w:val="center"/>
              <w:rPr/>
            </w:pPr>
            <w:r>
              <w:rPr/>
              <w:t> </w:t>
            </w:r>
          </w:p>
        </w:tc>
        <w:tc>
          <w:tcPr>
            <w:tcW w:w="10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3" w:type="dxa"/>
            <w:tcBorders/>
            <w:vAlign w:val="center"/>
          </w:tcPr>
          <w:p>
            <w:pPr>
              <w:pStyle w:val="TableContents"/>
              <w:bidi w:val="0"/>
              <w:spacing w:before="0" w:after="0"/>
              <w:ind w:left="0" w:right="0" w:hanging="0"/>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6" w:type="dxa"/>
            <w:gridSpan w:val="8"/>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 except percentages)</w:t>
            </w:r>
          </w:p>
        </w:tc>
        <w:tc>
          <w:tcPr>
            <w:tcW w:w="90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233"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center"/>
              <w:rPr/>
            </w:pPr>
            <w:r>
              <w:rPr/>
              <w:t> </w:t>
            </w:r>
          </w:p>
        </w:tc>
        <w:tc>
          <w:tcPr>
            <w:tcW w:w="3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223"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center"/>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(23)%</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Provision for (benefit from) income taxes decreased $0.1 million, or 23%, during the six months ended June 30, 2023 compared to the six months ended June 30, 2022, primarily due to an international tax withholding tax refund that resulted in less foreign taxes.</w:t>
      </w:r>
    </w:p>
    <w:p>
      <w:pPr>
        <w:pStyle w:val="TextBody"/>
        <w:bidi w:val="0"/>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$327.2 million as of June 30, 2023. We generated positive cash flows from operating activities for the six months ended June 30, 2023; however, we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our principal sources of liquidity were cash and cash equivalents of $234.4 million and restricted cash of $0.9 million. We also had $84.4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June 30, 2023, we had $113.5 million of deferred revenue, all of which was recorded as a current liability. This deferred revenue will be recognized as revenue when or as the related performance obligations are met.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shows a summary of our cash flows for the periods presented:</w:t>
      </w:r>
      <w:r>
        <w:rPr>
          <w:rFonts w:ascii="Times New Roman" w:hAnsi="Times New Roman"/>
          <w:sz w:val="20"/>
        </w:rPr>
        <w:t xml:space="preserve"> </w:t>
      </w:r>
    </w:p>
    <w:tbl>
      <w:tblPr>
        <w:tblW w:w="6044" w:type="dxa"/>
        <w:jc w:val="left"/>
        <w:tblInd w:w="0" w:type="dxa"/>
        <w:tblLayout w:type="fixed"/>
        <w:tblCellMar>
          <w:top w:w="28" w:type="dxa"/>
          <w:left w:w="28" w:type="dxa"/>
          <w:bottom w:w="28" w:type="dxa"/>
          <w:right w:w="28" w:type="dxa"/>
        </w:tblCellMar>
      </w:tblPr>
      <w:tblGrid>
        <w:gridCol w:w="3466"/>
        <w:gridCol w:w="146"/>
        <w:gridCol w:w="211"/>
        <w:gridCol w:w="676"/>
        <w:gridCol w:w="166"/>
        <w:gridCol w:w="146"/>
        <w:gridCol w:w="211"/>
        <w:gridCol w:w="63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346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gridSpan w:val="6"/>
            <w:tcBorders/>
            <w:vAlign w:val="center"/>
          </w:tcPr>
          <w:p>
            <w:pPr>
              <w:pStyle w:val="TableContents"/>
              <w:bidi w:val="0"/>
              <w:spacing w:before="0" w:after="0"/>
              <w:ind w:left="0" w:right="0" w:hanging="0"/>
              <w:jc w:val="center"/>
              <w:rPr>
                <w:rFonts w:ascii="Times New Roman;serif" w:hAnsi="Times New Roman;serif"/>
                <w:b/>
                <w:i/>
                <w:sz w:val="20"/>
              </w:rPr>
            </w:pPr>
            <w:r>
              <w:rPr>
                <w:rFonts w:ascii="Times New Roman;serif" w:hAnsi="Times New Roman;serif"/>
                <w:b/>
                <w:i/>
                <w:sz w:val="20"/>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2,353</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4,015</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largest source of operating cash is cash collection from sales of subscriptions to our paying customers. Our primary uses of cash from operating activities are for personnel and related expenses, marketing expenses, and third-party hosting-related and software expenses. For the current period we have generated positive cash flow from operating activities; however, in the last several years, we have generated negative cash flows from operating activities and have supplemented working capital requirements through net proceeds from the sale of preferred stock and common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Net cash provided by operating activities of $15.3 million for the six months ended June 30, 2023 reflects our net loss of $54.1 million, adjusted by non-cash items such as stock-based compensation expense of $41.9 million, depreciation and amortization of $2.8 million, and non-cash operating lease costs of $2.0 million as well as net cash provided by changes in our operating assets and liabilities of $23.3 million. The net cash provided by changes in operating assets and liabilities primarily consisted of collections outpacing revenue recognized as evidenced through the net increase in cash of $11.5 million from changes in accounts receivable and deferred revenue. Additionally, decreases in prepaid expenses and other current and noncurrent assets of $6.4 million and an increase in accounts payable and accrued expenses of $8.5 million, also increased operating cash flows during the period.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operating activities of $2.4 million for the six months ended June 30, 2022 reflects our net loss of $46.8 million, adjusted by non-cash items such as stock-based compensation expense of $28.3 million, depreciation and amortization of $1.9 million, and non-cash operating lease costs of $1.8 million as well as net cash provided by changes in our operating assets and liabilities of $17.0 million. The net cash provided by changes in operating assets and liabilities primarily consisted of a $29.1 million increase in deferred revenue, resulting from increased billings and collections for subscriptions, and decreases in prepaid expenses and other current and noncurrent assets of $2.3 million. These changes were offset by an increase in deferred commissions of $4.9 million and a $7.5 million increase in accounts receivable due to higher customer billings.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Investing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investing activities of $1.9 million for the six months ended June 30, 2023 consisted of $0.9 million of capitalized internal-use software development costs and $1.0 million in purchases of property and equipment.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Net cash used in investing activities of $3.8 million for the six months ended June 30, 2022 consisted of $1.3 million of capitalized internal-use software development costs and $2.5 million in purchases of property and equipment.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financing activities of $2.4 million for the six months ended June 30, 2023 primarily consisted of $2.4 million in proceeds from the exercise of stock options.</w:t>
      </w:r>
    </w:p>
    <w:p>
      <w:pPr>
        <w:pStyle w:val="TextBody"/>
        <w:bidi w:val="0"/>
        <w:spacing w:before="240" w:after="0"/>
        <w:jc w:val="left"/>
        <w:rPr>
          <w:rFonts w:ascii="Times New Roman" w:hAnsi="Times New Roman"/>
          <w:sz w:val="20"/>
        </w:rPr>
      </w:pPr>
      <w:r>
        <w:rPr>
          <w:rFonts w:ascii="Times New Roman;serif" w:hAnsi="Times New Roman;serif"/>
          <w:b w:val="false"/>
          <w:sz w:val="20"/>
        </w:rPr>
        <w:t>Net cash provided by financing activities of $4.0 million for the six months ended June 30, 2022 primarily consisted of $5.2 million in proceeds from the exercise of stock options offset by $1.1 million of net cash used through sales of common stock to cover tax-related amounts that had not yet been remitted to the respective taxing jurisdictions. It is expected that cash received and paid for these amounts will be cash flow neutral over time.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Remaining Performance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Remaining performance obligations (“RPO”) as of June 30, 2023 and 2022, including the expected timing of recognition is as follows:</w:t>
      </w:r>
      <w:r>
        <w:rPr>
          <w:rFonts w:ascii="Times New Roman" w:hAnsi="Times New Roman"/>
          <w:sz w:val="20"/>
        </w:rPr>
        <w:t xml:space="preserve"> </w:t>
      </w:r>
    </w:p>
    <w:tbl>
      <w:tblPr>
        <w:tblW w:w="7201"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103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Change</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than or equal to 12 months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13%</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Greater than 12 months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remaining performance obligations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246,347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227,586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Contractual Obligations and Commitments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there were no material changes in our contractual obligations and other commitments outside of those disclosed in the 2022 Form 10-K. For further information on our commitments and contingencies, refer to Note 9 in the consolidated financial statements contained within the 2022 Form 10-K.</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Indemnification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six months ended June 30, 2023 as compared to those disclosed in Part II, Item 7. Management’s Discussion and Analysis of Financial Condition and Results of Operations of the 2022 Form 10-K.</w:t>
      </w:r>
    </w:p>
    <w:p>
      <w:pPr>
        <w:pStyle w:val="TextBody"/>
        <w:bidi w:val="0"/>
        <w:spacing w:before="36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2" w:name="i_item3"/>
      <w:bookmarkEnd w:id="12"/>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cash and cash equivalents and marketable securities primarily consist of cash on hand and highly liquid investments in money market funds and U.S. government securities. As of June 30, 2023, we had cash and cash equivalents of $234.4 million and marketable securities, including non-current marketable securities, of $84.4 million. We do not enter into investments for trading or speculative purposes. Our investments are exposed to market risk due to fluctuations in interest rates, which may affect our interest income and fair value of our investments. However, an immediate 10% increase or decrease in interest rates would not have a material effect on the fair value of our portfolio. We therefore do not expect our operating results or cash flows to be materially affected by a sudden change in market interest rates.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Foreign Currency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pStyle w:val="TextBody"/>
        <w:bidi w:val="0"/>
        <w:spacing w:before="360" w:after="0"/>
        <w:jc w:val="left"/>
        <w:rPr>
          <w:rFonts w:ascii="Times New Roman" w:hAnsi="Times New Roman"/>
          <w:sz w:val="20"/>
        </w:rPr>
      </w:pPr>
      <w:r>
        <w:rPr>
          <w:rFonts w:ascii="Times New Roman;serif" w:hAnsi="Times New Roman;serif"/>
          <w:b/>
          <w:i/>
          <w:sz w:val="20"/>
        </w:rPr>
        <w:t>Inflation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3" w:name="i_item4"/>
      <w:bookmarkEnd w:id="13"/>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Inherent Limitations on Effectiveness of Controls</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bookmarkStart w:id="14" w:name="otherinformation"/>
      <w:bookmarkEnd w:id="14"/>
      <w:r>
        <w:rPr>
          <w:rFonts w:ascii="Times New Roman;serif" w:hAnsi="Times New Roman;serif"/>
          <w:b/>
          <w:sz w:val="20"/>
        </w:rPr>
        <w:t>PART II—OTHER INFORMATION</w:t>
      </w:r>
    </w:p>
    <w:p>
      <w:pPr>
        <w:pStyle w:val="TextBody"/>
        <w:bidi w:val="0"/>
        <w:spacing w:before="240" w:after="0"/>
        <w:jc w:val="left"/>
        <w:rPr>
          <w:rFonts w:ascii="Times New Roman;serif" w:hAnsi="Times New Roman;serif"/>
          <w:b/>
          <w:sz w:val="20"/>
        </w:rPr>
      </w:pPr>
      <w:bookmarkStart w:id="15" w:name="ii_item1"/>
      <w:bookmarkEnd w:id="15"/>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“Legal Matters” in Note 9 to our condensed consolidated financial statements included in Part I, Item 1 of this Quarterly Report on Form 10-Q.</w:t>
      </w:r>
    </w:p>
    <w:p>
      <w:pPr>
        <w:pStyle w:val="TextBody"/>
        <w:bidi w:val="0"/>
        <w:spacing w:before="360" w:after="0"/>
        <w:jc w:val="left"/>
        <w:rPr>
          <w:rFonts w:ascii="Times New Roman;serif" w:hAnsi="Times New Roman;serif"/>
          <w:b/>
          <w:sz w:val="20"/>
        </w:rPr>
      </w:pPr>
      <w:bookmarkStart w:id="16" w:name="ii_item1a"/>
      <w:bookmarkEnd w:id="16"/>
      <w:r>
        <w:rPr>
          <w:rFonts w:ascii="Times New Roman;serif" w:hAnsi="Times New Roman;serif"/>
          <w:b/>
          <w:sz w:val="20"/>
        </w:rPr>
        <w:t>Item 1A. Risk Factors.</w:t>
      </w:r>
    </w:p>
    <w:p>
      <w:pPr>
        <w:pStyle w:val="TextBody"/>
        <w:bidi w:val="0"/>
        <w:spacing w:before="0" w:after="0"/>
        <w:jc w:val="center"/>
        <w:rPr>
          <w:rFonts w:ascii="Times New Roman" w:hAnsi="Times New Roman"/>
          <w:sz w:val="20"/>
        </w:rPr>
      </w:pPr>
      <w:r>
        <w:rPr>
          <w:rFonts w:ascii="Times New Roman;serif" w:hAnsi="Times New Roman;serif"/>
          <w:b/>
          <w:caps/>
          <w:sz w:val="20"/>
        </w:rPr>
        <w:t>Risk Factors</w:t>
      </w:r>
      <w:r>
        <w:rPr>
          <w:rFonts w:ascii="Times New Roman" w:hAnsi="Times New Roman"/>
          <w:caps/>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Business and Industry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a limited operating history and have been growing rapidly over the last several years, which makes it difficult to forecast our future results of operations and increases the risk of your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revenue was $238.1 million for the fiscal year ended December 31, 2022 and $134.2 million and $111.2 million for the six months ended June 30, 2023 and 2022, respectively. However, you should not rely on our historical revenue growth as an indication of our future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have a history of losses. As our costs increase, we may not be able to generate sufficient revenue to achieve and sustain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experienced net losses in each period since inception. We generated net losses of $93.4 million for the fiscal year ended December 31, 2022 and $54.1 million and $46.8 million for the six months ended June 30, 2023 and 2022, respectively. As of June 30, 2023, we had an accumulated deficit of $327.2 million. We expect our costs and expenses to increase in future periods. In particular, we intend to continue to invest significant resources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development of our Digital Analytics Platform, including investments in our research and development team, the development or acquisition of new products, features, and functionality, and improvements to the scalability, availability, and security of our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technology infrastructure, including expansion of our activities in third-party data centers that we may lease, enhancements to our network operations and infrastructure, and hiring of additional employees;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and marketing;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additional international expansion, in an effort to increase our customer base and sales;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general administration, including legal, accounting, and other expenses.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pStyle w:val="TextBody"/>
        <w:bidi w:val="0"/>
        <w:spacing w:before="360" w:after="0"/>
        <w:jc w:val="left"/>
        <w:rPr>
          <w:rFonts w:ascii="Times New Roman" w:hAnsi="Times New Roman"/>
          <w:sz w:val="20"/>
        </w:rPr>
      </w:pPr>
      <w:r>
        <w:rPr>
          <w:rFonts w:ascii="Times New Roman;serif" w:hAnsi="Times New Roman;serif"/>
          <w:b/>
          <w:i/>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fluctuations in demand for, or pricing of, our Digital Analytics Platform, including as a result of our introduction of new products, features, and functionality;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fluctuations in usage of our Digital Analytics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attract new customers;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retain existing customers;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customer expansion rates;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investments in new products, features, and functionality;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our customers’ purchases;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speed with which customers are able to migrate data onto our platform after purchasing capacity;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awareness of our brand on a global basis;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fluctuations or delays in purchasing decisions in anticipation of new products, features, or functionality developed or acquired by us or our competitors;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changes in customers’ budgets and in the timing of their budget cycles and purchasing decisions;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control costs, including our operating expenses;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amount and timing of costs associated with our cloud computing infrastructure, particularly the cloud services provided by Amazon Web Services (“AWS”);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amount and timing of payment for operating expenses, particularly research and development and sales and marketing expenses;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amount and timing of non-cash expenses, including stock-based compensation, goodwill impairments, and other non-cash charges;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amount and timing of costs associated with recruiting, training, and integrating new employees and retaining and motivating existing employees;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identify and complete, and the effects of, mergers, acquisitions, or strategic partnerships, and the ensuing integration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general economic, market, and industry conditions (including the current inflationary economic environment, rising interest rates, and a potential recession), both domestically and internationally, as well as economic conditions specifically affecting industries in which our customers participate, and related difficulties in collections;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adverse impact of climate change, natural disasters, health epidemics, including the COVID-19 pandemic, political and social instability, including acts of war or other armed conflicts, such as Russia's invasion of Ukraine, and terrorist activities, on our business, operations, and the markets and communities in which we and our customers and partners operate and the disruption these events may cause to the global economy;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new accounting pronouncements;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overall tax rate for our business, which may be affected by the mix of income we earn in the United States and in jurisdictions with comparatively lower tax rates, the effects of stock-based compensation, and the effects of changes in our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changes in tax laws or judicial or regulatory interpretations of tax laws, which are recorded in the period such laws are enacted or interpretations are issued and may significantly affect the effective tax rate of that period;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fluctuations in currency exchange rates and changes in the proportion of our revenue and expenses denominated in foreign currencies;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competitive dynamics of our market, including consolidation among competitors or customers;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significant security breaches of, technical difficulties with, or interruptions to, the delivery and use of our platform. </w:t>
      </w:r>
    </w:p>
    <w:p>
      <w:pPr>
        <w:pStyle w:val="TextBody"/>
        <w:bidi w:val="0"/>
        <w:spacing w:before="240" w:after="0"/>
        <w:jc w:val="left"/>
        <w:rPr>
          <w:rFonts w:ascii="Times New Roman" w:hAnsi="Times New Roman"/>
          <w:sz w:val="20"/>
        </w:rPr>
      </w:pPr>
      <w:r>
        <w:rPr>
          <w:rFonts w:ascii="Times New Roman;serif" w:hAnsi="Times New Roman;serif"/>
          <w:b w:val="false"/>
          <w:sz w:val="20"/>
        </w:rPr>
        <w:t>Any of these and other factors, or the cumulative effect of some of these factors, may cause our results of operations to vary significantly. If our results of operations fall below the expectations of investors and securities analysts who follow our stock, the trading price of our Class A common stock could decline substantially, and we could face costly lawsuits, including securities class action litigation.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expect to continue to focus on sales to larger organizations and may become more dependent on those relationships, which may increase the variability of our sales cycle and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need to educate prospective customers about the uses and benefits of our Digital Analytics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discretionary nature of purchasing and budget cycles and decisions;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competitive nature of evaluation and purchasing processes;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evolving functionality demands;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or planned introductions of new products, features, or functionality by us or our competitors;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lengthy purchasing approval processes. </w:t>
      </w:r>
    </w:p>
    <w:p>
      <w:pPr>
        <w:pStyle w:val="TextBody"/>
        <w:bidi w:val="0"/>
        <w:spacing w:before="240" w:after="0"/>
        <w:jc w:val="left"/>
        <w:rPr>
          <w:rFonts w:ascii="Times New Roman" w:hAnsi="Times New Roman"/>
          <w:sz w:val="20"/>
        </w:rPr>
      </w:pPr>
      <w:r>
        <w:rPr>
          <w:rFonts w:ascii="Times New Roman;serif" w:hAnsi="Times New Roman;serif"/>
          <w:b w:val="false"/>
          <w:sz w:val="20"/>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recognize revenue over the term of our customer contracts. Consequently, downturns or upturns in new sales may not be immediately reflected in our results of operations and may be difficult to discern.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pStyle w:val="TextBody"/>
        <w:bidi w:val="0"/>
        <w:spacing w:before="360" w:after="0"/>
        <w:jc w:val="left"/>
        <w:rPr>
          <w:rFonts w:ascii="Times New Roman" w:hAnsi="Times New Roman"/>
          <w:sz w:val="20"/>
        </w:rPr>
      </w:pPr>
      <w:r>
        <w:rPr>
          <w:rFonts w:ascii="Times New Roman;serif" w:hAnsi="Times New Roman;serif"/>
          <w:b/>
          <w:i/>
          <w:sz w:val="20"/>
        </w:rPr>
        <w:t>Unfavorable conditions in our industry or the global economy, or reductions in software spending, could limit our ability to grow our business and materially adversely affect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recent and potential bank failures,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Asia Pacific region, or elsewhere, our customers and prospective customers may go out of business or elect to decrease their budgets, which would limit our ability to grow our business and materially adversely affect our financial condition and results of operations. For example, historically high levels of inflation and rising interest rates in the United States have begun to affect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In connection with unfavorable macroeconomic conditions and the related impact on our customers, in April 2023, we authorized a restructuring plan to reduce our global workforce by approximately 13%.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adversely affected.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Our recent restructuring plan may not result in anticipated savings or operational efficiencies and could result in total costs and expenses that are greater than expected, which could materially adversely affect our business,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April 2023, we authorized a restructuring plan to reduce our global workforce, which is intended to improve operational efficiencies and reduce operating costs, which we believe will allow us to scale for the future, continue our path to profitability, and deliver on our long-term vision. In connection with this reduction in our workforce, we incurred non-recurring charges of $8.2 million in the quarter ended June 30, 2023. </w:t>
        <w:br/>
      </w:r>
      <w:r>
        <w:rPr>
          <w:rFonts w:ascii="Times New Roman" w:hAnsi="Times New Roman"/>
          <w:sz w:val="20"/>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Our restructuring plan may result in unintended consequences and costs, such as the loss of institutional knowledge and expertise, decreased morale among our remaining employees, and the risk that we may not achieve the anticipated benefits and savings, in full or in part, of the workforce reduction. Moreover, if employees who were not affected by the workforce reduction seek alternative employment, this could result in unplanned additional expense to ensure adequate resourcing or harm our productivity. In addition, while positions have been eliminated, certain functions necessary to our operations remain, and we may be unsuccessful in distributing the duties and obligations of departed employees among our remaining employees. The workforce reduction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our restructuring plan, or if we experience significant adverse consequences from the workforce reduction, our business, financial condition, and results of operations could be materially adversely affected.</w:t>
        <w:br/>
      </w:r>
      <w:r>
        <w:rPr>
          <w:rFonts w:ascii="Times New Roman" w:hAnsi="Times New Roman"/>
          <w:sz w:val="20"/>
        </w:rPr>
        <w:t> </w:t>
      </w:r>
    </w:p>
    <w:p>
      <w:pPr>
        <w:pStyle w:val="TextBody"/>
        <w:bidi w:val="0"/>
        <w:spacing w:before="360" w:after="0"/>
        <w:jc w:val="left"/>
        <w:rPr>
          <w:rFonts w:ascii="Times New Roman" w:hAnsi="Times New Roman"/>
          <w:sz w:val="20"/>
        </w:rPr>
      </w:pPr>
      <w:r>
        <w:rPr>
          <w:rFonts w:ascii="Times New Roman;serif" w:hAnsi="Times New Roman;serif"/>
          <w:b/>
          <w:i/>
          <w:sz w:val="20"/>
        </w:rPr>
        <w:t>If the market for SaaS applications develops more slowly than we expect or declines, our business would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market in which we operate is highly competitive, and if we do not compete effectively, our business, financial condition, and results of operations could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in-house software systems;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large integrated systems vendors;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smaller companies offering alternative SaaS applications;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new or emerging entrants seeking to develop competing technologies. </w:t>
      </w:r>
    </w:p>
    <w:p>
      <w:pPr>
        <w:pStyle w:val="TextBody"/>
        <w:bidi w:val="0"/>
        <w:spacing w:before="240" w:after="0"/>
        <w:jc w:val="left"/>
        <w:rPr>
          <w:rFonts w:ascii="Times New Roman" w:hAnsi="Times New Roman"/>
          <w:sz w:val="20"/>
        </w:rPr>
      </w:pPr>
      <w:r>
        <w:rPr>
          <w:rFonts w:ascii="Times New Roman;serif" w:hAnsi="Times New Roman;serif"/>
          <w:b w:val="false"/>
          <w:sz w:val="20"/>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losses, or the failure of our Digital Analytics Platform to achieve or maintain more widespread market acceptance, any of which could harm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2022 Form 10-K.</w:t>
      </w:r>
    </w:p>
    <w:p>
      <w:pPr>
        <w:pStyle w:val="TextBody"/>
        <w:bidi w:val="0"/>
        <w:spacing w:before="360" w:after="0"/>
        <w:jc w:val="left"/>
        <w:rPr>
          <w:rFonts w:ascii="Times New Roman" w:hAnsi="Times New Roman"/>
          <w:sz w:val="20"/>
        </w:rPr>
      </w:pPr>
      <w:r>
        <w:rPr>
          <w:rFonts w:ascii="Times New Roman;serif" w:hAnsi="Times New Roman;serif"/>
          <w:b/>
          <w:i/>
          <w:sz w:val="20"/>
        </w:rPr>
        <w:t>If we fail to innovate in response to changing customer needs and technology developments and other market requirements, our business, financial condition, and results of operations would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pStyle w:val="TextBody"/>
        <w:bidi w:val="0"/>
        <w:spacing w:before="360" w:after="0"/>
        <w:jc w:val="left"/>
        <w:rPr>
          <w:rFonts w:ascii="Times New Roman" w:hAnsi="Times New Roman"/>
          <w:sz w:val="20"/>
        </w:rPr>
      </w:pPr>
      <w:r>
        <w:rPr>
          <w:rFonts w:ascii="Times New Roman;serif" w:hAnsi="Times New Roman;serif"/>
          <w:b/>
          <w:i/>
          <w:sz w:val="20"/>
        </w:rPr>
        <w:t>If we fail to effectively manage our growth and changes to our business over time, our business, financial condition, and results of operations would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experienced rapid growth in our business, personnel, and operations, which has placed, and may continue to place, significant demands on our management and operational and financial resources. Unfavorable conditions in the current macroeconomic environment have constrained growth in the economy generally, and in the software industry in particular, and many of our customers have consequently experienced a downturn in their business outlook. As a result of these factors, in April 2023, we approved a restructuring plan to reduce our global workforce to improve operational efficiencies and reduce operating cost. If economic conditions improve,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Public health crises, such as pandemics or similar outbreaks, have impacted and could continue to have an adverse impact, on our business and operations, and the markets and communities in which we, our partners, and customers operate, and the impact of the pandemic is difficult to assess or predict.</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business and operations, and the businesses and operations of our partners and customers, have been, and could in the future be, adversely impacted by public health crises, including the COVID-19 pandemic. Public health measures implemented to control COVID-19’s spread and severity substantially curtailed the movement of people, goods, and services worldwide, including regions where we and our partners and customers operate, and significantly impacted economic activity and financial markets. While we have developed and continue to develop strategies to help mitigate any continuing negative effects of the COVID-19 pandemic and other potential public health crises on our business and operations, such efforts may prove to be insufficient to adequately address the negative impacts of the COVID-19 pandemic and other potential public health crises. The duration and extent of the impact of the COVID-19 pandemic and other potential public health crises cannot be accurately assessed or predicted at this time, and could adversely impact our business, financial condition, and results of operations. </w:t>
        <w:br/>
      </w:r>
      <w:r>
        <w:rPr>
          <w:rFonts w:ascii="Times New Roman" w:hAnsi="Times New Roman"/>
          <w:sz w:val="20"/>
        </w:rPr>
        <w:t> </w:t>
      </w:r>
    </w:p>
    <w:p>
      <w:pPr>
        <w:pStyle w:val="TextBody"/>
        <w:bidi w:val="0"/>
        <w:spacing w:before="360" w:after="0"/>
        <w:jc w:val="left"/>
        <w:rPr>
          <w:rFonts w:ascii="Times New Roman" w:hAnsi="Times New Roman"/>
          <w:sz w:val="20"/>
        </w:rPr>
      </w:pPr>
      <w:r>
        <w:rPr>
          <w:rFonts w:ascii="Times New Roman;serif" w:hAnsi="Times New Roman;serif"/>
          <w:b/>
          <w:i/>
          <w:sz w:val="20"/>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platform stores, transmits, and processes our customers’ proprietary data, including personal or identifying information of their customers or employees. Unauthorized disclosure of,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Cyberattacks, denial-of-service attacks, ransomware attacks, business email compromises, computer malware, malicious code, viruses, and social engineering (including phishing) are prevalent in our industry and our customers’ industries. In addition, we may experience attacks, unavailable systems, unauthorized access to systems or data, or disclosure due to employee theft or misuse, denial-of-service attacks, sophisticated nation-state and nation-state-supported actors, and advanced persistent threat intrusions. Electronic security attacks designed to gain access to personal, sensitive, or confidential data are constantly evolving, and such attacks continue to grow in sophistication. The techniques used to sabotage, or to obtain unauthorized access to, our platform, information technology systems, networks, 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or our customers’ data or to disrupt our operations or ability to provide our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Such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circumstances beyond our reasonable control, we may face claims of misrepresentation or deceptiveness by the U.S. Federal Trade Commission (the “FTC”), state, federal, and foreign regulators, and private litigants.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denial-of-service attacks or other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and implement equivalent services, if we are able to do so at all. Any of these circumstances could materially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Real or perceived errors, failures, or bugs in our platform could materially adversely affect our business and growth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Any failure to offer high-quality product support may adversely affect our relationships with our customers, our reputation, and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Incorrect or improper implementation or use of our Digital Analytics Platform could result in customer dissatisfaction and materially adversely affect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and demand, then our Digital Analytics Platform may become less marketable, less competitive, or obsolete, and our business, financial condition, results of operations, and growth prospects could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do not have the history with our subscription or pricing models necessary to accurately predict optimal pricing necessary to attract new customers and retain existing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Failure to effectively develop and expand our sales and marketing capabilities, including our relationships with channel partners, could harm our ability to increase our customer base and achieve broader market acceptance of our products and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 unable to build and maintain successful relationships with our channel partners or such channel partners may fail to perform, which could materially adversely affect our business, financial condition, results of operations, and growth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If our marketing strategies are not effective in attracting new customers and retaining existing customers, our business and ability to grow our revenues would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Sales efforts to larger organizations involve risks that may not be present or that are present to a lesser extent with respect to sales to smaller organizations.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are unable to maintain and enhance our brand, our business, financial condition, and results of operations may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perception of our Digital Analytics Platform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competitors, and we could lose customers or fail to attract potential customers, all of which would materially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operations are international in scope, and we plan further geographic expansion, creating a variety of operational challenges.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year ended December 31, 2022 and the six months ended June 30, 2023, 38%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current and future international business and operations involve a variety of risks,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slower than anticipated public cloud adoption by international businesses;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which may be unexpected, in a specific country’s or region’s political, economic, or legal and regulatory environment, including Brexit, armed conflicts, pandemics, terrorist activities, tariffs, trade wars, or long-term environmental risks;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need to adapt and localize our Digital Analytics Platform for specific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longer payment cycles and greater difficulty enforcing contracts, collecting accounts receivable, or satisfying revenue recognition criteria, especially in emerging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new, evolving, and more stringent regulations relating to privacy and data security and the unauthorized use of, or access to, commercial and personal information, particularly in Europe;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differing and potentially more onerous labor regulations, especially in Europe, where labor laws are generally more advantageous to employees as compared to the United States, including deemed hourly wage and overtime regulations in these locations;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 managing a business in new markets with diverse cultures, languages, customs, legal systems, alternative dispute systems, and regulatory systems;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travel, real estate, infrastructure, and legal compliance costs associated with international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currency exchange rate fluctuations and the resulting effect on our revenue and expenses, and the cost and risk of entering into hedging transactions if we choose to do so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on our ability to reinvest earnings from operations in one country to fund the capital needs of our operations in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laws and business practices favoring local competitors or general market preferences for local vendors;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limited or insufficient intellectual property protection or difficulties obtaining, maintaining, protecting, or enforcing our intellectual property rights, including our trademarks and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health epidemics, or other global political, social, or macroeconomic events, including the war in Ukraine, that could decrease economic activity in certain markets, decrease use of our products and services, or decrease our ability to import, export, or sell our products and services to existing or new customers in international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financial accounting and reporting burdens and complexities;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requirements or preferences for domestic products;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differing technical standards, existing or future regulatory and certification requirements, and required features and functionality;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burdens of complying with laws and regulations related to privacy and data security, including the E.U. General Data Protection Regulation (“GDPR”) and similar laws and regulations in other jurisdictions;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burdens of complying with laws and regulations related to taxation, and regulations, adverse tax burdens, and foreign exchange controls that could make it difficult to repatriate earnings and cash. </w:t>
      </w:r>
    </w:p>
    <w:p>
      <w:pPr>
        <w:pStyle w:val="TextBody"/>
        <w:bidi w:val="0"/>
        <w:spacing w:before="240" w:after="0"/>
        <w:jc w:val="left"/>
        <w:rPr>
          <w:rFonts w:ascii="Times New Roman" w:hAnsi="Times New Roman"/>
          <w:sz w:val="20"/>
        </w:rPr>
      </w:pPr>
      <w:r>
        <w:rPr>
          <w:rFonts w:ascii="Times New Roman;serif" w:hAnsi="Times New Roman;serif"/>
          <w:b w:val="false"/>
          <w:sz w:val="20"/>
        </w:rPr>
        <w:t>If we invest substantial time and resources to further expand our international operations and are unable to do so successfully and in a timely manner, our business, financial condition, and results of operations could be materially adversely affected.</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The war in Ukraine could materially adversely affect our business,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val="false"/>
          <w:sz w:val="20"/>
        </w:rPr>
        <w:t>On February 24,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br/>
      </w:r>
      <w:r>
        <w:rPr>
          <w:rFonts w:ascii="Times New Roman" w:hAnsi="Times New Roman"/>
          <w:sz w:val="20"/>
        </w:rPr>
        <w:t>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We are actively monitoring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 </w:t>
        <w:br/>
      </w:r>
      <w:r>
        <w:rPr>
          <w:rFonts w:ascii="Times New Roman" w:hAnsi="Times New Roman"/>
          <w:sz w:val="20"/>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br/>
      </w:r>
      <w:r>
        <w:rPr>
          <w:rFonts w:ascii="Times New Roman" w:hAnsi="Times New Roman"/>
          <w:sz w:val="20"/>
        </w:rPr>
        <w:t> </w:t>
      </w:r>
    </w:p>
    <w:p>
      <w:pPr>
        <w:pStyle w:val="TextBody"/>
        <w:bidi w:val="0"/>
        <w:spacing w:before="360" w:after="0"/>
        <w:jc w:val="left"/>
        <w:rPr>
          <w:rFonts w:ascii="Times New Roman" w:hAnsi="Times New Roman"/>
          <w:sz w:val="20"/>
        </w:rPr>
      </w:pPr>
      <w:r>
        <w:rPr>
          <w:rFonts w:ascii="Times New Roman;serif" w:hAnsi="Times New Roman;serif"/>
          <w:b/>
          <w:i/>
          <w:sz w:val="20"/>
        </w:rPr>
        <w:t>We derive, and expect to continue for some time to derive, substantially all of our revenue from our Amplitude Analytics product.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have released our Amplitude CDP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year ended December 31, 2022 and the six months ended June 30, 2023 and 2022, our research and development expenses were 34%, 34%, and 33%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agree to indemnify customers and other third parties, which exposes us to substantial potential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require additional capital to support the growth of our business, and this capital might not be available on acceptable terms, if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know when or if our operations will generate sufficient cash to fully fund our ongoing operations or the growth of our business. 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intellectual property rights may not protect our business or provide us with a competitive advantage,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failure to obtain patents and other intellectual property rights for important innovations or maintain appropriate confidentiality and other protective measures to establish and maintain our trade secrets;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uncertainty in, and evolution of, legal standards relating to the validity, enforceability, and scope of protection of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invalidation of our intellectual property rights through administrative processes or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inability by us to detect infringement or other misappropriation of our intellectual property rights by third parties;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practical, resource, or business limitations on our ability to enforce our rights.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become subject to intellectual property disputes, which are expensive to support and, if resolved adversely, may subject us to significant liability and increased costs of doing business, which could have a material adverse effect on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Any intellectual property litigation to which we become a party may require us to do one or more of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cease selling, licensing, or using products or features that incorporate the intellectual property rights that we allegedly infringe, misappropriate, or violate;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make substantial payments for legal fees, settlement payments, subscription fee refunds, or other costs or damages, including indemnification of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a license or enter into a royalty agreement, either of which may not be available on reasonable terms, or at all, in order to obtain the right to sell or use the relevant intellectual property;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redesign the allegedly infringing products to avoid infringement, misappropriation, or violation, which could be costly, time-consuming, or impossible. </w:t>
      </w:r>
    </w:p>
    <w:p>
      <w:pPr>
        <w:pStyle w:val="TextBody"/>
        <w:bidi w:val="0"/>
        <w:spacing w:before="240" w:after="0"/>
        <w:jc w:val="left"/>
        <w:rPr>
          <w:rFonts w:ascii="Times New Roman" w:hAnsi="Times New Roman"/>
          <w:sz w:val="20"/>
        </w:rPr>
      </w:pPr>
      <w:r>
        <w:rPr>
          <w:rFonts w:ascii="Times New Roman;serif" w:hAnsi="Times New Roman;serif"/>
          <w:b w:val="false"/>
          <w:sz w:val="20"/>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use of “open-source” software could negatively affect our ability to sell our platform and subject us to possible litigation.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pStyle w:val="TextBody"/>
        <w:bidi w:val="0"/>
        <w:spacing w:before="360" w:after="0"/>
        <w:jc w:val="left"/>
        <w:rPr>
          <w:rFonts w:ascii="Times New Roman" w:hAnsi="Times New Roman"/>
          <w:sz w:val="20"/>
        </w:rPr>
      </w:pPr>
      <w:r>
        <w:rPr>
          <w:rFonts w:ascii="Times New Roman;serif" w:hAnsi="Times New Roman;serif"/>
          <w:b/>
          <w:sz w:val="20"/>
        </w:rPr>
        <w:t>Risks Related to Regulatory Compliance and Legal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subject to government regulation, including import, export control, economic, and trade sanctions, and anti-corruption laws and regulations, which may expose us to liability and increase our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activities must be conducted in compliance with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complaints, adverse media coverage, and investigations, any of which could have a material adverse effect on our reputation, business, and results of operations.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Our business may be affected by sanctions, export controls, and similar measures targeting Russia and other countries and territories, as well as other responses to Russia’s invasion of Ukraine.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result of Russia’s invasion of Ukraine, governmental authorities in the United States, the European Union, and the United Kingdom, among others, launched an expansion of coordinated sanctions and export control measures, including, for example: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blocking sanctions on some of the largest state-owned and private Russian financial institutions (and their subsequent removal from the Society for Worldwide Interbank Financial Telecommunication (“SWIFT”) payment system);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blocking sanctions against Russian and Belarusian individuals, including the Russian President, other politicians, and those with government connections or involvement in Russian military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blocking sanctions against certain Russian businessmen and their businesses, some of which have significant financial and trade ties to the European Union;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blocking of Russia’s foreign currency reserves and prohibition on secondary trading in Russian sovereign debt and certain transactions with the Russian Central Bank, National Wealth Fund, and the Ministry of Finance of the Russian Federation;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expansion of sectoral sanctions in various sectors of the Russian and Belarusian economies and the defense sector;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United Kingdom sanctions introducing restrictions on providing loans to, and dealing in securities issued by, persons connected with Russia;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restrictions on access to the financial and capital markets in the European Union, as well as prohibitions on aircraft leasing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sanctions prohibiting most commercial activities of U.S., U.K., and E.U. persons in the so-called People’s Republic of Donetsk and the so-called People’s Republic of Luhansk (and, with respect to the E.U., the areas of Kherson and Zaporizhzhia not controlled by the Ukrainian government), with all of these new restrictions largely tracking prior prohibitions relating to Crimea and Sevastopol;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closure of airspace to Russian aircraft;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ban on imports of Russian oil, liquefied natural gas, and coal to the United States and on “new investment” in Russia’s energy sector (often with similar bans being enacted in the United Kingdom and the E.U.);</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ban on imports of Russian fish, seafood, and preparations thereof, alcoholic beverages, non-industrial diamonds, and gold to the United States;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ban on “new investment” in the Russian Federation by a U.S. person, which may be interpreted broadly (with a similar prohibition also enacted by the United Kingdom);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bans on the provision of certain professional services, including accounting, trust and corporate formation, auditing, and management consulting services, among others;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bans on the provision of services related to the worldwide maritime transportation of seaborne Russian oil, if purchased above a specific price cap.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are reviewing and monitoring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pStyle w:val="TextBody"/>
        <w:bidi w:val="0"/>
        <w:spacing w:before="360" w:after="0"/>
        <w:jc w:val="left"/>
        <w:rPr>
          <w:rFonts w:ascii="Times New Roman" w:hAnsi="Times New Roman"/>
          <w:sz w:val="20"/>
        </w:rPr>
      </w:pPr>
      <w:r>
        <w:rPr>
          <w:rFonts w:ascii="Times New Roman;serif" w:hAnsi="Times New Roman;serif"/>
          <w:b/>
          <w:i/>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artificial intelligence and machine learning,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may incur significant expenses to comply with the laws, regulations, and other obligations that apply to us. For example, the GDPR imposes stringent data protection requirements for processing the personal data of individuals within the European Economic Area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currently rely on the EU standard contractual clauses and the UK Addendum to the EU standard contractual clauses to transfer personal data outside the EEA and its member states, the UK, and/or Switzerland, including to the United States.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w:t>
      </w:r>
    </w:p>
    <w:p>
      <w:pPr>
        <w:pStyle w:val="TextBody"/>
        <w:bidi w:val="0"/>
        <w:spacing w:before="240" w:after="0"/>
        <w:jc w:val="left"/>
        <w:rPr>
          <w:rFonts w:ascii="Times New Roman" w:hAnsi="Times New Roman"/>
          <w:sz w:val="20"/>
        </w:rPr>
      </w:pPr>
      <w:r>
        <w:rPr>
          <w:rFonts w:ascii="Times New Roman;serif" w:hAnsi="Times New Roman;serif"/>
          <w:b w:val="false"/>
          <w:sz w:val="20"/>
        </w:rPr>
        <w:t>Since the beginning of 2021, companies have had to comply with both the GDPR and the UK GDPR, which, together with the amended UK Data Protection Act 2018, retains the GDPR in U.K. national law. The UK GDPR mirrors the fines under the GDPR, imposing fines up to the greater of €20 million (£17.5 million) or 4% of global turnover.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pStyle w:val="TextBody"/>
        <w:bidi w:val="0"/>
        <w:spacing w:before="240" w:after="0"/>
        <w:jc w:val="left"/>
        <w:rPr>
          <w:rFonts w:ascii="Times New Roman" w:hAnsi="Times New Roman"/>
          <w:sz w:val="20"/>
        </w:rPr>
      </w:pPr>
      <w:r>
        <w:rPr>
          <w:rFonts w:ascii="Times New Roman;serif" w:hAnsi="Times New Roman;serif"/>
          <w:b w:val="false"/>
          <w:sz w:val="20"/>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on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Additionally, the California Privacy Rights Act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pStyle w:val="TextBody"/>
        <w:bidi w:val="0"/>
        <w:spacing w:before="360" w:after="0"/>
        <w:jc w:val="left"/>
        <w:rPr>
          <w:rFonts w:ascii="Times New Roman" w:hAnsi="Times New Roman"/>
          <w:sz w:val="20"/>
        </w:rPr>
      </w:pPr>
      <w:r>
        <w:rPr>
          <w:rFonts w:ascii="Times New Roman;serif" w:hAnsi="Times New Roman;serif"/>
          <w:b/>
          <w:i/>
          <w:sz w:val="20"/>
        </w:rPr>
        <w:t>Any future litigation against us could be costly and time-consuming to defend.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pStyle w:val="TextBody"/>
        <w:bidi w:val="0"/>
        <w:spacing w:before="360" w:after="0"/>
        <w:jc w:val="left"/>
        <w:rPr>
          <w:rFonts w:ascii="Times New Roman" w:hAnsi="Times New Roman"/>
          <w:sz w:val="20"/>
        </w:rPr>
      </w:pPr>
      <w:r>
        <w:rPr>
          <w:rFonts w:ascii="Times New Roman;serif" w:hAnsi="Times New Roman;serif"/>
          <w:b/>
          <w:sz w:val="20"/>
        </w:rPr>
        <w:t>Risks Related to Tax and Accounting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face exposure to foreign currency exchange rate fluctuations.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conduct transactions, particularly intercompany transactions, in currencies other than the U.S. dollar. While we have primarily transacted with customers and vendors in U.S. dollars, we have transacted in foreign currencies for subscriptions to our</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global operations and structure subject us to potentially adverse tax consequences.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 Organisation for Economic Co-operation and Development has initiated a base erosion and profit shifting project that seeks to establish certain international standards for taxing the worldwide income of multinational companies.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ability to use our net operating loss carryforwards may be limited.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2021 and have determined that none of our NOLs generated through December 31, 2021 will expire solely due to Section 382 limitations caused by ownership changes prior to December 31, 2021. However, we may have experienced ownership changes after December 31, 2021, and may experience ownership changes as a result of subsequent shifts in our stock ownership, some of which may be outside of our control. Such a change or changes could limit the amount of NOLs that we can utilize annually to offset future taxable income. Subsequent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pStyle w:val="TextBody"/>
        <w:bidi w:val="0"/>
        <w:spacing w:before="360" w:after="0"/>
        <w:jc w:val="left"/>
        <w:rPr>
          <w:rFonts w:ascii="Times New Roman" w:hAnsi="Times New Roman"/>
          <w:sz w:val="20"/>
        </w:rPr>
      </w:pPr>
      <w:r>
        <w:rPr>
          <w:rFonts w:ascii="Times New Roman;serif" w:hAnsi="Times New Roman;serif"/>
          <w:b/>
          <w:i/>
          <w:sz w:val="20"/>
        </w:rPr>
        <w:t>Changes in our effective tax rate or tax liability may have a material adverse effect on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outcome may differ from the amounts recorded in our condensed consolidated financial statements and may materially affect our financial results in the period or periods in which such outcome is determined.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effective tax rate could increase due to several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relative amounts of income before taxes in the various jurisdictions in which we operate that have differing statutory tax rates;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tax laws, tax treaties, and regulations or the interpretation of them, such as the Tax Cuts and Jobs Act, the Coronavirus Aid, Relief, and Economic Security Act, and the Inflation Reduction Act;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to our assessment about our ability to realize our deferred tax assets that are based on estimates of our future results, the prudence and feasibility of possible tax planning strategies, and the economic and political environments in which we do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outcome of current and future tax audits, examinations, or administrative appeals;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effects of acquisitions. </w:t>
      </w:r>
    </w:p>
    <w:p>
      <w:pPr>
        <w:pStyle w:val="TextBody"/>
        <w:bidi w:val="0"/>
        <w:spacing w:before="240" w:after="0"/>
        <w:jc w:val="left"/>
        <w:rPr>
          <w:rFonts w:ascii="Times New Roman" w:hAnsi="Times New Roman"/>
          <w:sz w:val="20"/>
        </w:rPr>
      </w:pPr>
      <w:r>
        <w:rPr>
          <w:rFonts w:ascii="Times New Roman;serif" w:hAnsi="Times New Roman;serif"/>
          <w:b w:val="false"/>
          <w:sz w:val="20"/>
        </w:rPr>
        <w:t>Any of these developments could materially adversely affect our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could be required to collect additional sales or indirect taxes or be subject to other tax liabilities that may increase the costs our customers would have to pay for our products and materially adversely affect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An increasing number of states have considered or adopted laws that attempt to impose tax collection obligations on out-of-state companies. Additionally, the Supreme Court of the United States ruled in </w:t>
      </w:r>
      <w:r>
        <w:rPr>
          <w:rFonts w:ascii="Times New Roman;serif" w:hAnsi="Times New Roman;serif"/>
          <w:b w:val="false"/>
          <w:i/>
          <w:sz w:val="20"/>
        </w:rPr>
        <w:t xml:space="preserve">South Dakota v. Wayfair, Inc. et al </w:t>
      </w:r>
      <w:r>
        <w:rPr>
          <w:rFonts w:ascii="Times New Roman;serif" w:hAnsi="Times New Roman;serif"/>
          <w:b w:val="false"/>
          <w:sz w:val="20"/>
        </w:rPr>
        <w:t>(“</w:t>
      </w:r>
      <w:r>
        <w:rPr>
          <w:rFonts w:ascii="Times New Roman;serif" w:hAnsi="Times New Roman;serif"/>
          <w:b w:val="false"/>
          <w:i/>
          <w:sz w:val="20"/>
        </w:rPr>
        <w:t>Wayfair</w:t>
      </w:r>
      <w:r>
        <w:rPr>
          <w:rFonts w:ascii="Times New Roman" w:hAnsi="Times New Roman"/>
          <w:sz w:val="20"/>
        </w:rPr>
        <w:t>”</w:t>
      </w:r>
      <w:r>
        <w:rPr>
          <w:rFonts w:ascii="Times New Roman;serif" w:hAnsi="Times New Roman;serif"/>
          <w:b w:val="false"/>
          <w:sz w:val="20"/>
        </w:rPr>
        <w:t xml:space="preserve">), that online sellers can be required to collect sales and use tax despite not having a physical presence in the buyer’s state. In response to </w:t>
      </w:r>
      <w:r>
        <w:rPr>
          <w:rFonts w:ascii="Times New Roman;serif" w:hAnsi="Times New Roman;serif"/>
          <w:b w:val="false"/>
          <w:i/>
          <w:sz w:val="20"/>
        </w:rPr>
        <w:t>Wayfair</w:t>
      </w:r>
      <w:r>
        <w:rPr>
          <w:rFonts w:ascii="Times New Roman;serif" w:hAnsi="Times New Roman;serif"/>
          <w:b w:val="false"/>
          <w:sz w:val="20"/>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bidi w:val="0"/>
        <w:spacing w:before="360" w:after="0"/>
        <w:jc w:val="left"/>
        <w:rPr>
          <w:rFonts w:ascii="Times New Roman" w:hAnsi="Times New Roman"/>
          <w:sz w:val="20"/>
        </w:rPr>
      </w:pPr>
      <w:r>
        <w:rPr>
          <w:rFonts w:ascii="Times New Roman;serif" w:hAnsi="Times New Roman;serif"/>
          <w:b/>
          <w:i/>
          <w:sz w:val="20"/>
        </w:rPr>
        <w:t>Our reported financial results may be adversely affected by changes in accounting principles generally accepted in the United States.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If our estimates or judgments relating to our critical accounting policies prove to be incorrect, our results of operations could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our goodwill or intangible assets become impaired, we may be required to record a significant charge to earnings.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Ownership of Our Class A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trading price of our Class A common stock has been, and in the future, may be, volatile, and could decline significantly and rapidly.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price of our Class A common stock has fluctuated and may in the future fluctuate substantially in response to numerous factors in addition to the ones described in the preceding risk factors, many of which are beyond our control,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actual or anticipated fluctuations in our financial condition, results of operations, or operating metrics and those of our competitors;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our projected operating and financial results or our failure to meet these projections;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of securities analysts to initiate or maintain coverage of us, changes in financial estimates by any securities analysts who follow our company, or variance in our financial performance from expectations of securities analysts;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pricing of our Digital Analytics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anticipated future size or growth rate of our addressable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laws or regulations applicable to our Digital Analytics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significant business developments, acquisitions, or new offerings;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data breaches, disruptions to, or other incidents involving, our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involvement in litigation;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our board of directors, senior management, or key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shares of our Class A common stock made available for trading;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future sales of our Class A common stock by us or our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volume of our Class A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anticipated future size and growth rate of our market;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general economic, market, and industry conditions, including economic slowdowns, recessions, inflationary pressures, rising interest rates, financial market fluctuations, and reduced credit availability;</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events or factors, including those resulting from war (including the recent and developing war in Ukraine), incidents of terrorism, pandemics (including the COVID-19 pandemic), elections, or responses to these events;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whether investors or securities analysts view our stock structure unfavorably, particularly our dual class structure and the concentrated voting control of our executive officers, directors, and their affiliates.</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We may be the target of this type of litigation in the future, which could result in substantial expenses and divert our management’s attention.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principal stockholders have the ability to influence the outcome of director elections and other matters requiring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while we do not expect to issue any additional shares of Class B common stock, any future issuances of Class B common stock would be dilutive to holders of Class A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cannot predict the impact our dual class structure may have on the trading price of our Class A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multiple class capital structures to be included in their indices. Under the announced policies, our dual class capital structure would make us ineligible for inclusion in any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None of our securityholders are subject to any contractual lock-up or other contractual restriction on the transfer or sale of their shares.</w:t>
      </w:r>
    </w:p>
    <w:p>
      <w:pPr>
        <w:pStyle w:val="TextBody"/>
        <w:bidi w:val="0"/>
        <w:spacing w:before="240" w:after="0"/>
        <w:jc w:val="left"/>
        <w:rPr>
          <w:rFonts w:ascii="Times New Roman" w:hAnsi="Times New Roman"/>
          <w:sz w:val="20"/>
        </w:rPr>
      </w:pPr>
      <w:r>
        <w:rPr>
          <w:rFonts w:ascii="Times New Roman;serif" w:hAnsi="Times New Roman;serif"/>
          <w:b w:val="false"/>
          <w:sz w:val="20"/>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we have filed registration statements to register all shares subject to options and RSUs outstanding or reserved for future issuance under our equity compensation plans. As of June 30, 2023, we had options outstanding that, if fully exercised, would result in the issuance of 15,327,959 shares of Class A common stock, as well as 11,257,571 shares of Class A common stock subject to RSU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Accordingly, these shares will be able to be freely sold in the public market upon issuance, subject to applicable vesting requirements and compliance by affiliates with Rule 144.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issuance of additional capital stock in connection with financings, acquisitions, investments, our equity incentive plans, or otherwise will dilute all other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do not intend to pay dividends for the foreseeable future and, as a result, your ability to achieve a return on your investment will depend on appreciation in the trading price of our Class A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are no longer an “emerging growth company,” and, as a result, we now must comply with increased reporting and disclosure requirements, which may increase our costs.</w:t>
        <w:br/>
      </w:r>
      <w:r>
        <w:rPr>
          <w:rFonts w:ascii="Times New Roman" w:hAnsi="Times New Roman"/>
          <w:sz w:val="20"/>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no longer qualify as an “emerging growth company” within the meaning of the Securities Act, as modified by the Jumpstart Our Business Startups Act of 2012 (the “JOBS Act”) and, as a result, are subject to various disclosure and compliance requirements that did not previously apply, such as: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requirement that our independent registered public accounting firm attest to the effectiveness of our internal control over financial reporting under Section 404(b) of the Sarbanes-Oxley Act of 2002 (the “Sarbanes-Oxley Act”);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requirement that we adopt new or revised accounting standards when they are applicable to public companies, instead of delaying their adoption until they are applicable to private companies;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compliance with any requirement that may be adopted by the Public Company Accounting Oversight Board regarding obligatory audit firm rotation or a supplement to the auditor’s report providing additional information about the audit and the financial statements;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requirement that we provide full and more detailed disclosures regarding executive compensation;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requirement that we hold a non-binding advisory vote on executive compensation and obtain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serif" w:hAnsi="Times New Roman;serif"/>
          <w:b w:val="false"/>
          <w:sz w:val="20"/>
        </w:rPr>
        <w:br/>
        <w:t>We expect that the loss of emerging growth company status and compliance with these additional requirements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trading price of our Class A common stock could decline and we could be subject to sanctions or investigations by Nasdaq, the SEC or other regulatory authorities, which would require additional financial and management resources.</w:t>
        <w:br/>
      </w:r>
      <w:r>
        <w:rPr>
          <w:rFonts w:ascii="Times New Roman" w:hAnsi="Times New Roman"/>
          <w:sz w:val="20"/>
        </w:rPr>
        <w:t> </w:t>
      </w:r>
    </w:p>
    <w:p>
      <w:pPr>
        <w:pStyle w:val="TextBody"/>
        <w:bidi w:val="0"/>
        <w:spacing w:before="360" w:after="0"/>
        <w:jc w:val="left"/>
        <w:rPr>
          <w:rFonts w:ascii="Times New Roman" w:hAnsi="Times New Roman"/>
          <w:sz w:val="20"/>
        </w:rPr>
      </w:pPr>
      <w:r>
        <w:rPr>
          <w:rFonts w:ascii="Times New Roman;serif" w:hAnsi="Times New Roman;serif"/>
          <w:b/>
          <w:i/>
          <w:sz w:val="20"/>
        </w:rPr>
        <w:t>Anti-takeover provisions in our charter documents and under Delaware law could make an acquisition of our company more difficult, limit attempts by our stockholders to replace or remove our current management, and limit the trading price of our Class A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to issue, without further action by the stockholders, shares of undesignated preferred stock with terms, rights, and preferences determined by our board of directors that may be senior to our Class A common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that any action to be taken by our stockholders be effected at a duly called annual or special meeting and not by written consent;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specify that special meetings of our stockholders can be called only by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an advance notice procedure for stockholder proposals to be brought before an annual meeting, including proposed nominations of persons for election to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that our board of directors is divided into three classes, with each class serving three-year staggered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prohibit cumulative voting in the election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our directors may only be removed for cause;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vacancies on our board of directors may be filled only by a majority of directors then in office, even though less than a quorum;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 the approval of our board of directors or the holders of at least 66 2/3% of our outstanding shares of voting stock to amend our bylaws and certain provisions of our certificate of incorporation. </w:t>
      </w:r>
    </w:p>
    <w:p>
      <w:pPr>
        <w:pStyle w:val="TextBody"/>
        <w:bidi w:val="0"/>
        <w:spacing w:before="240" w:after="0"/>
        <w:jc w:val="left"/>
        <w:rPr>
          <w:rFonts w:ascii="Times New Roman" w:hAnsi="Times New Roman"/>
          <w:sz w:val="20"/>
        </w:rPr>
      </w:pPr>
      <w:r>
        <w:rPr>
          <w:rFonts w:ascii="Times New Roman;serif" w:hAnsi="Times New Roman;serif"/>
          <w:b w:val="false"/>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Claims for indemnification by our directors</w:t>
      </w:r>
      <w:r>
        <w:rPr>
          <w:rFonts w:ascii="Times New Roman" w:hAnsi="Times New Roman"/>
          <w:sz w:val="20"/>
        </w:rPr>
        <w:t xml:space="preserve"> </w:t>
      </w:r>
      <w:r>
        <w:rPr>
          <w:rFonts w:ascii="Times New Roman;serif" w:hAnsi="Times New Roman;serif"/>
          <w:b/>
          <w:i/>
          <w:sz w:val="20"/>
        </w:rPr>
        <w:t>and officers may reduce our available funds to satisfy successful third-party claims against us and may reduce the amount of money available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restated certificate of incorporation and amended and restated bylaws provide that we will indemnify our directors and officers, in each case to the fullest extent permitted by Delaware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as permitted by Section 145 of the Delaware General Corporation Law, our amended and restated bylaws and indemnification agreements that we have entered into with our directors and officers provide that: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in our discretion, indemnify employees and agents in those circumstances where indemnification is permitted by applicable law;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rights conferred in our amended and restated bylaws are not exclusive, and we are authorized to enter into indemnification agreements with our directors, officers, employees, and agents and to obtain insurance to indemnify such persons;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not retroactively amend our amended and restated bylaws to reduce our indemnification obligations to directors, officers, employees, and agents. </w:t>
      </w:r>
    </w:p>
    <w:p>
      <w:pPr>
        <w:pStyle w:val="TextBody"/>
        <w:bidi w:val="0"/>
        <w:spacing w:before="240" w:after="0"/>
        <w:jc w:val="left"/>
        <w:rPr>
          <w:rFonts w:ascii="Times New Roman" w:hAnsi="Times New Roman"/>
          <w:sz w:val="20"/>
        </w:rPr>
      </w:pPr>
      <w:r>
        <w:rPr>
          <w:rFonts w:ascii="Times New Roman;serif" w:hAnsi="Times New Roman;serif"/>
          <w:b w:val="false"/>
          <w:sz w:val="20"/>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General 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inability to attract and retain highly skilled employees could materially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For example, in April 2023, we approved a restructuring plan to reduce our global workforce.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depend on our executive officers and other key employees, and the loss of one or more of these employees could materially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our executive management team resulting from the hiring or departure of executives. For example, on February 15, 2023, we announced that Hoang Vuong, our Chief Financial Officer, would no longer serve as Chief Financial Officer, effective February 22, 2023. Our board of directors appointed Christopher Harms as our Chief Financial Officer, effective February 22, 2023. Our inability to successfully manage this transition, or future executive transitions,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Changes in the business, regulatory, or political climate in the San Francisco Bay Area could adversely affect our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Changes in laws and regulations related to the internet or changes in the internet infrastructure itself may diminish the demand for our Digital Analytics Platform, and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business could be disrupted by catastrophic occurrences and similar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Natural disasters or other catastrophic events may cause damage or disruption to our operations, international commerce, and the global economy, and could harm our business. We have a large employee presence in San Francisco, California. In the event of a major earthquake, fire, power loss, telecommunications failure, cyberattack, war (including the war in Ukraine),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securities or industry analysts do not publish research or publish unfavorable or inaccurate research about our business, the trading price and trading volume of our Class A common stock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incur significant costs as a result of operating as a public company, and our management needs to devote substantial time to compliance with our public company responsibilities and corporate governance practices.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7" w:name="ii_item2"/>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8" w:name="ii_item3"/>
      <w:bookmarkEnd w:id="18"/>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9" w:name="ii_item4"/>
      <w:bookmarkEnd w:id="19"/>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serif" w:hAnsi="Times New Roman;serif"/>
          <w:b/>
          <w:sz w:val="20"/>
        </w:rPr>
      </w:pPr>
      <w:bookmarkStart w:id="20" w:name="ii_item5"/>
      <w:bookmarkEnd w:id="20"/>
      <w:r>
        <w:rPr>
          <w:rFonts w:ascii="Times New Roman;serif" w:hAnsi="Times New Roman;serif"/>
          <w:b/>
          <w:sz w:val="20"/>
        </w:rPr>
        <w:t>Item 5. Other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On June 9, 2023, Eric Vishria, our director, adopted</w:t>
      </w:r>
      <w:r>
        <w:rPr>
          <w:rFonts w:ascii="Times New Roman" w:hAnsi="Times New Roman"/>
          <w:sz w:val="20"/>
        </w:rPr>
        <w:t xml:space="preserve"> </w:t>
      </w:r>
      <w:r>
        <w:rPr>
          <w:rFonts w:ascii="Times New Roman;serif" w:hAnsi="Times New Roman;serif"/>
          <w:b w:val="false"/>
          <w:sz w:val="20"/>
        </w:rPr>
        <w:t>a Rule 10b5-1 trading arrangement, as Trustee to The Vishria Revocable Trust, that is intended to satisfy the affirmative defense of Rule 10b5-1(c) for the sale of up to 210,500</w:t>
      </w:r>
      <w:r>
        <w:rPr>
          <w:rFonts w:ascii="Times New Roman" w:hAnsi="Times New Roman"/>
          <w:sz w:val="20"/>
        </w:rPr>
        <w:t xml:space="preserve"> </w:t>
      </w:r>
      <w:r>
        <w:rPr>
          <w:rFonts w:ascii="Times New Roman;serif" w:hAnsi="Times New Roman;serif"/>
          <w:b w:val="false"/>
          <w:sz w:val="20"/>
        </w:rPr>
        <w:t>shares of the Company’s Class A Common Stock until June 9, 2024.</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21" w:name="exhibits"/>
      <w:bookmarkEnd w:id="21"/>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5751"/>
        <w:gridCol w:w="511"/>
        <w:gridCol w:w="844"/>
        <w:gridCol w:w="631"/>
        <w:gridCol w:w="652"/>
        <w:gridCol w:w="945"/>
      </w:tblGrid>
      <w:tr>
        <w:trPr/>
        <w:tc>
          <w:tcPr>
            <w:tcW w:w="871" w:type="dxa"/>
            <w:tcBorders/>
            <w:vAlign w:val="center"/>
          </w:tcPr>
          <w:p>
            <w:pPr>
              <w:pStyle w:val="TableContents"/>
              <w:bidi w:val="0"/>
              <w:spacing w:before="0" w:after="283"/>
              <w:jc w:val="left"/>
              <w:rPr>
                <w:sz w:val="4"/>
                <w:szCs w:val="4"/>
              </w:rPr>
            </w:pPr>
            <w:r>
              <w:rPr>
                <w:sz w:val="4"/>
                <w:szCs w:val="4"/>
              </w:rPr>
            </w:r>
          </w:p>
        </w:tc>
        <w:tc>
          <w:tcPr>
            <w:tcW w:w="5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Number</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Filed Herewith</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Restated Certificate of Incorporation of the Registrant.</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001-40817</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9/21/2021</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the Registrant.</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001-40817</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9/21/2021</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Specimen Stock Certificate evidencing the shares of Class A Common Stock.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333-259168</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8/30/2021</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4.2</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Specimen Stock Certificate evidencing the shares of Class B Common Stock.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S-8</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333-259698</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9/21/2021</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4.3</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Amended and Restated Investors’ Rights Agreement, dated as of May 28, 2021, as amended, by and among the Registrant and certain of its stockholders.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333-259168</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8/30/2021</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mpl-ex10_1.htm">
              <w:r>
                <w:rPr>
                  <w:rStyle w:val="InternetLink"/>
                  <w:rFonts w:ascii="Times New Roman;serif" w:hAnsi="Times New Roman;serif"/>
                  <w:b w:val="false"/>
                  <w:sz w:val="20"/>
                  <w:u w:val="single"/>
                </w:rPr>
                <w:t>Section 16 Bonus Plan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mpl-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mpl-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mpl-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mpl-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57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4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94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Indicates management contract or compensatory plan</w:t>
      </w:r>
    </w:p>
    <w:p>
      <w:pPr>
        <w:pStyle w:val="TextBody"/>
        <w:bidi w:val="0"/>
        <w:spacing w:before="0" w:after="0"/>
        <w:jc w:val="left"/>
        <w:rPr>
          <w:rFonts w:ascii="Times New Roman" w:hAnsi="Times New Roman"/>
          <w:sz w:val="20"/>
        </w:rPr>
      </w:pPr>
      <w:r>
        <w:rPr>
          <w:rFonts w:ascii="Times New Roman;serif" w:hAnsi="Times New Roman;serif"/>
          <w:b w:val="false"/>
          <w:sz w:val="20"/>
        </w:rPr>
        <w:t>* 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27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Amplitude, Inc.</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8,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Spenser Skates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Spenser Skates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Chief Executive Officer</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8,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Christopher Harms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Christopher Harms</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23" w:name="ampl-ex10_1.htm"/>
      <w:bookmarkStart w:id="24" w:name="ksamplex10_1"/>
      <w:bookmarkEnd w:id="23"/>
      <w:bookmarkEnd w:id="24"/>
      <w:r>
        <w:rPr>
          <w:rFonts w:ascii="Times New Roman;serif" w:hAnsi="Times New Roman;serif"/>
          <w:b/>
          <w:sz w:val="24"/>
        </w:rPr>
        <w:t>Exhibit 10.1</w:t>
      </w:r>
      <w:r>
        <w:br w:type="page"/>
      </w:r>
    </w:p>
    <w:p>
      <w:pPr>
        <w:pStyle w:val="TextBody"/>
        <w:bidi w:val="0"/>
        <w:spacing w:before="240" w:after="0"/>
        <w:jc w:val="center"/>
        <w:rPr>
          <w:rFonts w:ascii="Times New Roman;serif" w:hAnsi="Times New Roman;serif"/>
          <w:b/>
          <w:sz w:val="24"/>
        </w:rPr>
      </w:pPr>
      <w:r>
        <w:rPr>
          <w:rFonts w:ascii="Times New Roman;serif" w:hAnsi="Times New Roman;serif"/>
          <w:b/>
          <w:sz w:val="24"/>
        </w:rPr>
        <w:t>AMPLITUDE, INC.</w:t>
      </w:r>
    </w:p>
    <w:p>
      <w:pPr>
        <w:pStyle w:val="TextBody"/>
        <w:bidi w:val="0"/>
        <w:spacing w:before="0" w:after="240"/>
        <w:jc w:val="center"/>
        <w:rPr>
          <w:rFonts w:ascii="Times New Roman;serif" w:hAnsi="Times New Roman;serif"/>
          <w:b/>
          <w:sz w:val="24"/>
        </w:rPr>
      </w:pPr>
      <w:r>
        <w:rPr>
          <w:rFonts w:ascii="Times New Roman;serif" w:hAnsi="Times New Roman;serif"/>
          <w:b/>
          <w:sz w:val="24"/>
        </w:rPr>
        <w:t>SECTION 16 BONUS PLAN</w:t>
      </w:r>
    </w:p>
    <w:p>
      <w:pPr>
        <w:pStyle w:val="TextBody"/>
        <w:bidi w:val="0"/>
        <w:spacing w:before="0" w:after="240"/>
        <w:jc w:val="both"/>
        <w:rPr>
          <w:rFonts w:ascii="Times New Roman" w:hAnsi="Times New Roman"/>
          <w:b w:val="false"/>
          <w:sz w:val="24"/>
        </w:rPr>
      </w:pPr>
      <w:r>
        <w:rPr>
          <w:rFonts w:ascii="Times New Roman" w:hAnsi="Times New Roman"/>
          <w:b w:val="false"/>
          <w:sz w:val="24"/>
        </w:rPr>
        <w:t>1.</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Purpose</w:t>
      </w:r>
    </w:p>
    <w:p>
      <w:pPr>
        <w:pStyle w:val="TextBody"/>
        <w:bidi w:val="0"/>
        <w:spacing w:before="0" w:after="240"/>
        <w:jc w:val="both"/>
        <w:rPr>
          <w:rFonts w:ascii="Times New Roman" w:hAnsi="Times New Roman"/>
          <w:sz w:val="20"/>
        </w:rPr>
      </w:pPr>
      <w:r>
        <w:rPr>
          <w:rFonts w:ascii="Times New Roman;serif" w:hAnsi="Times New Roman;serif"/>
          <w:b w:val="false"/>
          <w:sz w:val="24"/>
        </w:rPr>
        <w:t>This Section 16 Bonus Plan (the “</w:t>
      </w:r>
      <w:r>
        <w:rPr>
          <w:rFonts w:ascii="Times New Roman;serif" w:hAnsi="Times New Roman;serif"/>
          <w:b w:val="false"/>
          <w:sz w:val="24"/>
          <w:u w:val="single"/>
        </w:rPr>
        <w:t>Plan</w:t>
      </w:r>
      <w:r>
        <w:rPr>
          <w:rFonts w:ascii="Times New Roman" w:hAnsi="Times New Roman"/>
          <w:sz w:val="20"/>
        </w:rPr>
        <w:t>”</w:t>
      </w:r>
      <w:r>
        <w:rPr>
          <w:rFonts w:ascii="Times New Roman;serif" w:hAnsi="Times New Roman;serif"/>
          <w:b w:val="false"/>
          <w:sz w:val="24"/>
        </w:rPr>
        <w:t>) is intended to provide an incentive for superior work and to motivate eligible employees of Amplitude, Inc.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and its subsidiaries toward even higher achievement and business results, to tie their goals and interests to those of the Company and its stockholders and to enable the Company to attract and retain highly qualified employees. The Plan is for the benefit of Covered Employees (as defined below) during the period commencing January 1, 2023 and ending December 31, 2023 and consecutive annual performance periods thereafter (each of calendar year 2023 and such consecutive annual performance periods, a “</w:t>
      </w:r>
      <w:r>
        <w:rPr>
          <w:rFonts w:ascii="Times New Roman;serif" w:hAnsi="Times New Roman;serif"/>
          <w:b w:val="false"/>
          <w:sz w:val="24"/>
          <w:u w:val="single"/>
        </w:rPr>
        <w:t>Performance Period</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2.</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Covered Employees</w:t>
      </w:r>
    </w:p>
    <w:p>
      <w:pPr>
        <w:pStyle w:val="TextBody"/>
        <w:bidi w:val="0"/>
        <w:spacing w:before="0" w:after="240"/>
        <w:jc w:val="both"/>
        <w:rPr>
          <w:rFonts w:ascii="Times New Roman" w:hAnsi="Times New Roman"/>
          <w:sz w:val="20"/>
        </w:rPr>
      </w:pPr>
      <w:r>
        <w:rPr>
          <w:rFonts w:ascii="Times New Roman;serif" w:hAnsi="Times New Roman;serif"/>
          <w:b w:val="false"/>
          <w:sz w:val="24"/>
        </w:rPr>
        <w:t>The Board of Directors of the Company (the “</w:t>
      </w:r>
      <w:r>
        <w:rPr>
          <w:rFonts w:ascii="Times New Roman;serif" w:hAnsi="Times New Roman;serif"/>
          <w:b w:val="false"/>
          <w:sz w:val="24"/>
          <w:u w:val="single"/>
        </w:rPr>
        <w:t>Board</w:t>
      </w:r>
      <w:r>
        <w:rPr>
          <w:rFonts w:ascii="Times New Roman" w:hAnsi="Times New Roman"/>
          <w:sz w:val="20"/>
        </w:rPr>
        <w:t>”</w:t>
      </w:r>
      <w:r>
        <w:rPr>
          <w:rFonts w:ascii="Times New Roman;serif" w:hAnsi="Times New Roman;serif"/>
          <w:b w:val="false"/>
          <w:sz w:val="24"/>
        </w:rPr>
        <w:t>) and/or the Compensation Committee of the Board (the “</w:t>
      </w:r>
      <w:r>
        <w:rPr>
          <w:rFonts w:ascii="Times New Roman;serif" w:hAnsi="Times New Roman;serif"/>
          <w:b w:val="false"/>
          <w:sz w:val="24"/>
          <w:u w:val="single"/>
        </w:rPr>
        <w:t>Compensation Committee</w:t>
      </w:r>
      <w:r>
        <w:rPr>
          <w:rFonts w:ascii="Times New Roman;serif" w:hAnsi="Times New Roman;serif"/>
          <w:b w:val="false"/>
          <w:sz w:val="24"/>
        </w:rPr>
        <w:t>,” collectively, the “</w:t>
      </w:r>
      <w:r>
        <w:rPr>
          <w:rFonts w:ascii="Times New Roman;serif" w:hAnsi="Times New Roman;serif"/>
          <w:b w:val="false"/>
          <w:sz w:val="24"/>
          <w:u w:val="single"/>
        </w:rPr>
        <w:t>Administrator</w:t>
      </w:r>
      <w:r>
        <w:rPr>
          <w:rFonts w:ascii="Times New Roman" w:hAnsi="Times New Roman"/>
          <w:sz w:val="20"/>
        </w:rPr>
        <w:t>”</w:t>
      </w:r>
      <w:r>
        <w:rPr>
          <w:rFonts w:ascii="Times New Roman;serif" w:hAnsi="Times New Roman;serif"/>
          <w:b w:val="false"/>
          <w:sz w:val="24"/>
        </w:rPr>
        <w:t>) shall determine which executive officers of the Company and its subsidiaries shall be eligible to participate in the Plan for a given Performance Period (the “</w:t>
      </w:r>
      <w:r>
        <w:rPr>
          <w:rFonts w:ascii="Times New Roman;serif" w:hAnsi="Times New Roman;serif"/>
          <w:b w:val="false"/>
          <w:sz w:val="24"/>
          <w:u w:val="single"/>
        </w:rPr>
        <w:t>Covered Employees</w:t>
      </w:r>
      <w:r>
        <w:rPr>
          <w:rFonts w:ascii="Times New Roman" w:hAnsi="Times New Roman"/>
          <w:sz w:val="20"/>
        </w:rPr>
        <w:t>”</w:t>
      </w:r>
      <w:r>
        <w:rPr>
          <w:rFonts w:ascii="Times New Roman;serif" w:hAnsi="Times New Roman;serif"/>
          <w:b w:val="false"/>
          <w:sz w:val="24"/>
        </w:rPr>
        <w:t>). From time to time, the Administrator may select other employees to be eligible to receive bonuses hereunder and each such employee shall be a Covered Employee for the purposes of the Plan. Participation in the Plan is in the sole discretion of the Administrator. Accordingly, a Covered Employee who is a participant in the Plan is in no way is guaranteed or assured of being selected for participation in any subsequent Plan.</w:t>
      </w:r>
    </w:p>
    <w:p>
      <w:pPr>
        <w:pStyle w:val="TextBody"/>
        <w:bidi w:val="0"/>
        <w:spacing w:before="0" w:after="240"/>
        <w:jc w:val="both"/>
        <w:rPr>
          <w:rFonts w:ascii="Times New Roman" w:hAnsi="Times New Roman"/>
          <w:b w:val="false"/>
          <w:sz w:val="24"/>
        </w:rPr>
      </w:pPr>
      <w:r>
        <w:rPr>
          <w:rFonts w:ascii="Times New Roman" w:hAnsi="Times New Roman"/>
          <w:b w:val="false"/>
          <w:sz w:val="24"/>
        </w:rPr>
        <w:t>3.</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Administration</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The Board shall administer the Plan in all respects for Covered Employees who are Executives and, in respect of such Executives, all references to “Administrator” shall mean the Board. The Administrator shall have the sole discretion and authority to administer and interpret the Plan.</w:t>
      </w:r>
    </w:p>
    <w:p>
      <w:pPr>
        <w:pStyle w:val="TextBody"/>
        <w:bidi w:val="0"/>
        <w:spacing w:before="0" w:after="240"/>
        <w:jc w:val="both"/>
        <w:rPr>
          <w:rFonts w:ascii="Times New Roman" w:hAnsi="Times New Roman"/>
          <w:b w:val="false"/>
          <w:sz w:val="24"/>
        </w:rPr>
      </w:pPr>
      <w:r>
        <w:rPr>
          <w:rFonts w:ascii="Times New Roman" w:hAnsi="Times New Roman"/>
          <w:b w:val="false"/>
          <w:sz w:val="24"/>
        </w:rPr>
        <w:t>4.</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Bonus Determinations</w:t>
      </w:r>
    </w:p>
    <w:p>
      <w:pPr>
        <w:pStyle w:val="TextBody"/>
        <w:bidi w:val="0"/>
        <w:spacing w:before="0" w:after="240"/>
        <w:jc w:val="both"/>
        <w:rPr>
          <w:rFonts w:ascii="Times New Roman" w:hAnsi="Times New Roman"/>
          <w:b w:val="false"/>
          <w:sz w:val="24"/>
        </w:rPr>
      </w:pPr>
      <w:r>
        <w:rPr>
          <w:rFonts w:ascii="Times New Roman" w:hAnsi="Times New Roman"/>
          <w:b w:val="false"/>
          <w:sz w:val="24"/>
        </w:rPr>
        <w:t>(a)</w:t>
      </w:r>
    </w:p>
    <w:p>
      <w:pPr>
        <w:pStyle w:val="TextBody"/>
        <w:bidi w:val="0"/>
        <w:spacing w:before="0" w:after="240"/>
        <w:jc w:val="both"/>
        <w:rPr/>
      </w:pPr>
      <w:r>
        <w:rPr>
          <w:rFonts w:ascii="Times New Roman;serif" w:hAnsi="Times New Roman;serif"/>
          <w:b w:val="false"/>
          <w:sz w:val="24"/>
        </w:rPr>
        <w:t>A Covered Employee may receive a bonus payment under the Plan based upon the attainment of performance objectives which are established by the Administrator (the “</w:t>
      </w:r>
      <w:r>
        <w:rPr>
          <w:rFonts w:ascii="Times New Roman;serif" w:hAnsi="Times New Roman;serif"/>
          <w:b w:val="false"/>
          <w:sz w:val="24"/>
          <w:u w:val="single"/>
        </w:rPr>
        <w:t>Performance Goals</w:t>
      </w:r>
      <w:r>
        <w:rPr/>
        <w:t>”</w:t>
      </w:r>
      <w:r>
        <w:rPr>
          <w:rFonts w:ascii="Times New Roman;serif" w:hAnsi="Times New Roman;serif"/>
          <w:b w:val="false"/>
          <w:sz w:val="24"/>
        </w:rPr>
        <w:t>), which may be based on corporate, individual or team Performance Goals. The specific Performance Goals, and their weighting (to the extent applicable), for each Covered Employee shall be determined by the Administrator during the first quarter of the applicable Performance Period. From time to time, the Administrator may establish additional Performance Goals or revise existing Performance Goals, in its sole discretion, during a given Performance Period.</w:t>
      </w:r>
    </w:p>
    <w:p>
      <w:pPr>
        <w:pStyle w:val="TextBody"/>
        <w:bidi w:val="0"/>
        <w:spacing w:before="0" w:after="240"/>
        <w:jc w:val="both"/>
        <w:rPr>
          <w:rFonts w:ascii="Times New Roman" w:hAnsi="Times New Roman"/>
          <w:b w:val="false"/>
          <w:sz w:val="24"/>
        </w:rPr>
      </w:pPr>
      <w:r>
        <w:rPr>
          <w:rFonts w:ascii="Times New Roman" w:hAnsi="Times New Roman"/>
          <w:b w:val="false"/>
          <w:sz w:val="24"/>
        </w:rPr>
        <w:t>(b)</w:t>
      </w:r>
    </w:p>
    <w:p>
      <w:pPr>
        <w:pStyle w:val="TextBody"/>
        <w:bidi w:val="0"/>
        <w:spacing w:before="0" w:after="240"/>
        <w:jc w:val="both"/>
        <w:rPr/>
      </w:pPr>
      <w:r>
        <w:rPr>
          <w:rFonts w:ascii="Times New Roman;serif" w:hAnsi="Times New Roman;serif"/>
          <w:b w:val="false"/>
          <w:sz w:val="24"/>
        </w:rPr>
        <w:t>The amount of bonus that can be earned by any Covered Employee during the Performance Period shall be based on the Covered Employee’s target bonus percentage (“</w:t>
      </w:r>
      <w:r>
        <w:rPr>
          <w:rFonts w:ascii="Times New Roman;serif" w:hAnsi="Times New Roman;serif"/>
          <w:b w:val="false"/>
          <w:sz w:val="24"/>
          <w:u w:val="single"/>
        </w:rPr>
        <w:t xml:space="preserve">Target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serif" w:hAnsi="Times New Roman;serif"/>
          <w:b w:val="false"/>
          <w:sz w:val="24"/>
          <w:u w:val="single"/>
        </w:rPr>
        <w:t>Bonus Percentage</w:t>
      </w:r>
      <w:r>
        <w:rPr/>
        <w:t>”</w:t>
      </w:r>
      <w:r>
        <w:rPr>
          <w:rFonts w:ascii="Times New Roman;serif" w:hAnsi="Times New Roman;serif"/>
          <w:b w:val="false"/>
          <w:sz w:val="24"/>
        </w:rPr>
        <w:t>), which shall be established by the Administrator and expressed as a percentage of the Covered Employee’s base salary.</w:t>
      </w:r>
      <w:r>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(c)</w:t>
      </w:r>
    </w:p>
    <w:p>
      <w:pPr>
        <w:pStyle w:val="TextBody"/>
        <w:bidi w:val="0"/>
        <w:spacing w:before="0" w:after="240"/>
        <w:jc w:val="both"/>
        <w:rPr/>
      </w:pPr>
      <w:r>
        <w:rPr>
          <w:rFonts w:ascii="Times New Roman;serif" w:hAnsi="Times New Roman;serif"/>
          <w:b w:val="false"/>
          <w:sz w:val="24"/>
        </w:rPr>
        <w:t>As soon as administratively practicable following the end of the applicable Performance Period, the Administrator shall determine the achievement level of each Performance Goal for the full Performance Period. The amount to be paid to each Covered Employee (the “</w:t>
      </w:r>
      <w:r>
        <w:rPr>
          <w:rFonts w:ascii="Times New Roman;serif" w:hAnsi="Times New Roman;serif"/>
          <w:b w:val="false"/>
          <w:sz w:val="24"/>
          <w:u w:val="single"/>
        </w:rPr>
        <w:t>Bonus Payment</w:t>
      </w:r>
      <w:r>
        <w:rPr/>
        <w:t>”</w:t>
      </w:r>
      <w:r>
        <w:rPr>
          <w:rFonts w:ascii="Times New Roman;serif" w:hAnsi="Times New Roman;serif"/>
          <w:b w:val="false"/>
          <w:sz w:val="24"/>
        </w:rPr>
        <w:t xml:space="preserve">) shall be established by the Administrator; </w:t>
      </w:r>
      <w:r>
        <w:rPr>
          <w:rFonts w:ascii="Times New Roman;serif" w:hAnsi="Times New Roman;serif"/>
          <w:b w:val="false"/>
          <w:i/>
          <w:sz w:val="24"/>
        </w:rPr>
        <w:t>provided</w:t>
      </w:r>
      <w:r>
        <w:rPr/>
        <w:t xml:space="preserve"> </w:t>
      </w:r>
      <w:r>
        <w:rPr>
          <w:rFonts w:ascii="Times New Roman;serif" w:hAnsi="Times New Roman;serif"/>
          <w:b w:val="false"/>
          <w:sz w:val="24"/>
        </w:rPr>
        <w:t>that if the Administrator does not specify, it shall be determined as the sum of the amount calculated for each Performance Goal by multiplying (1) the Achievement Level Factor (as defined below) times (2) the weighting for such Performance Goal (to the extent applicable) times (3) the Target Bonus Percentage for the Covered Employee times (4) the Covered Employee’s annual base salary. For the purposes of the Plan, “</w:t>
      </w:r>
      <w:r>
        <w:rPr>
          <w:rFonts w:ascii="Times New Roman;serif" w:hAnsi="Times New Roman;serif"/>
          <w:b w:val="false"/>
          <w:sz w:val="24"/>
          <w:u w:val="single"/>
        </w:rPr>
        <w:t>Achievement Level Factor</w:t>
      </w:r>
      <w:r>
        <w:rPr/>
        <w:t xml:space="preserve">” </w:t>
      </w:r>
      <w:r>
        <w:rPr>
          <w:rFonts w:ascii="Times New Roman;serif" w:hAnsi="Times New Roman;serif"/>
          <w:b w:val="false"/>
          <w:sz w:val="24"/>
        </w:rPr>
        <w:t>shall mean the actual achievement of the applicable Performance Goal, expressed as a percentage, as determined by the Administrator, in its sole discretion.</w:t>
      </w:r>
    </w:p>
    <w:p>
      <w:pPr>
        <w:pStyle w:val="TextBody"/>
        <w:bidi w:val="0"/>
        <w:spacing w:before="0" w:after="240"/>
        <w:jc w:val="both"/>
        <w:rPr>
          <w:rFonts w:ascii="Times New Roman" w:hAnsi="Times New Roman"/>
          <w:b w:val="false"/>
          <w:sz w:val="24"/>
        </w:rPr>
      </w:pPr>
      <w:r>
        <w:rPr>
          <w:rFonts w:ascii="Times New Roman" w:hAnsi="Times New Roman"/>
          <w:b w:val="false"/>
          <w:sz w:val="24"/>
        </w:rPr>
        <w:t>(d)</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 xml:space="preserve">The Bonus Payment earned, if any, for an individual who became a Covered Employee after the commencement of the Performance Period shall be pro-rated based on such Covered Employee’s actual employment with the Company during the Performance Period. </w:t>
      </w:r>
    </w:p>
    <w:p>
      <w:pPr>
        <w:pStyle w:val="TextBody"/>
        <w:bidi w:val="0"/>
        <w:spacing w:before="0" w:after="240"/>
        <w:jc w:val="both"/>
        <w:rPr>
          <w:rFonts w:ascii="Times New Roman" w:hAnsi="Times New Roman"/>
          <w:b w:val="false"/>
          <w:sz w:val="24"/>
        </w:rPr>
      </w:pPr>
      <w:r>
        <w:rPr>
          <w:rFonts w:ascii="Times New Roman" w:hAnsi="Times New Roman"/>
          <w:b w:val="false"/>
          <w:sz w:val="24"/>
        </w:rPr>
        <w:t>(e)</w:t>
      </w:r>
    </w:p>
    <w:p>
      <w:pPr>
        <w:pStyle w:val="TextBody"/>
        <w:bidi w:val="0"/>
        <w:spacing w:before="0" w:after="240"/>
        <w:jc w:val="both"/>
        <w:rPr/>
      </w:pPr>
      <w:r>
        <w:rPr>
          <w:rFonts w:ascii="Times New Roman;serif" w:hAnsi="Times New Roman;serif"/>
          <w:b w:val="false"/>
          <w:sz w:val="24"/>
        </w:rPr>
        <w:t>Payment of bonuses to Covered Employees shall be made as soon as practicable after the Administrator certifies the actual Bonus Payment amounts and achievement of the related Performance Goals, as determined by the Administrator after the end of the Performance Period, but in any event on or before March 15</w:t>
      </w:r>
      <w:r>
        <w:rPr>
          <w:rFonts w:ascii="Times New Roman;serif" w:hAnsi="Times New Roman;serif"/>
          <w:b w:val="false"/>
          <w:sz w:val="16"/>
        </w:rPr>
        <w:t>th</w:t>
      </w:r>
      <w:r>
        <w:rPr/>
        <w:t xml:space="preserve"> </w:t>
      </w:r>
      <w:r>
        <w:rPr>
          <w:rFonts w:ascii="Times New Roman;serif" w:hAnsi="Times New Roman;serif"/>
          <w:b w:val="false"/>
          <w:sz w:val="24"/>
        </w:rPr>
        <w:t xml:space="preserve">of the year following the end of the applicable Performance Period. </w:t>
      </w:r>
    </w:p>
    <w:p>
      <w:pPr>
        <w:pStyle w:val="TextBody"/>
        <w:bidi w:val="0"/>
        <w:spacing w:before="0" w:after="240"/>
        <w:jc w:val="both"/>
        <w:rPr>
          <w:rFonts w:ascii="Times New Roman" w:hAnsi="Times New Roman"/>
          <w:b/>
          <w:sz w:val="24"/>
        </w:rPr>
      </w:pPr>
      <w:r>
        <w:rPr>
          <w:rFonts w:ascii="Times New Roman" w:hAnsi="Times New Roman"/>
          <w:b/>
          <w:sz w:val="24"/>
        </w:rPr>
        <w:t>(f)</w:t>
      </w:r>
    </w:p>
    <w:p>
      <w:pPr>
        <w:pStyle w:val="TextBody"/>
        <w:bidi w:val="0"/>
        <w:spacing w:before="0" w:after="240"/>
        <w:jc w:val="both"/>
        <w:rPr/>
      </w:pPr>
      <w:r>
        <w:rPr>
          <w:rFonts w:ascii="Times New Roman;serif" w:hAnsi="Times New Roman;serif"/>
          <w:b/>
          <w:sz w:val="24"/>
        </w:rPr>
        <w:t xml:space="preserve">Subject to applicable law, the payment of a bonus to a Covered Employee with respect to the Performance Period shall be conditioned upon the Covered Employee’s employment by the Company through the actual date of payment of for any Bonus Payment; </w:t>
      </w:r>
      <w:r>
        <w:rPr>
          <w:rFonts w:ascii="Times New Roman;serif" w:hAnsi="Times New Roman;serif"/>
          <w:b/>
          <w:i/>
          <w:sz w:val="24"/>
        </w:rPr>
        <w:t>provided</w:t>
      </w:r>
      <w:r>
        <w:rPr>
          <w:rFonts w:ascii="Times New Roman;serif" w:hAnsi="Times New Roman;serif"/>
          <w:b/>
          <w:sz w:val="24"/>
        </w:rPr>
        <w:t xml:space="preserve">, </w:t>
      </w:r>
      <w:r>
        <w:rPr>
          <w:rFonts w:ascii="Times New Roman;serif" w:hAnsi="Times New Roman;serif"/>
          <w:b/>
          <w:i/>
          <w:sz w:val="24"/>
        </w:rPr>
        <w:t>however</w:t>
      </w:r>
      <w:r>
        <w:rPr>
          <w:rFonts w:ascii="Times New Roman;serif" w:hAnsi="Times New Roman;serif"/>
          <w:b/>
          <w:sz w:val="24"/>
        </w:rPr>
        <w:t xml:space="preserve">, that the Administrator may make exceptions to this requirement, in its sole discretion, including, without limitation, in the case of a Covered Employee’s termination of employment, retirement, death or disability. </w:t>
      </w:r>
      <w:r>
        <w:rPr>
          <w:rFonts w:ascii="Times New Roman;serif" w:hAnsi="Times New Roman;serif"/>
          <w:b w:val="false"/>
          <w:sz w:val="24"/>
        </w:rPr>
        <w:t>For the avoidance of doubt, in the event a Covered Employee ceases to be an employee for any reason on or before the actual date of payment for any Bonus Payment, such Covered Employee will no longer be eligible for any bonus under the Plan.</w:t>
      </w:r>
    </w:p>
    <w:p>
      <w:pPr>
        <w:pStyle w:val="TextBody"/>
        <w:bidi w:val="0"/>
        <w:spacing w:before="0" w:after="240"/>
        <w:jc w:val="both"/>
        <w:rPr>
          <w:rFonts w:ascii="Times New Roman" w:hAnsi="Times New Roman"/>
          <w:b w:val="false"/>
          <w:sz w:val="24"/>
        </w:rPr>
      </w:pPr>
      <w:r>
        <w:rPr>
          <w:rFonts w:ascii="Times New Roman" w:hAnsi="Times New Roman"/>
          <w:b w:val="false"/>
          <w:sz w:val="24"/>
        </w:rPr>
        <w:t>(g)</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For the avoidance of doubt and unless otherwise determined by the Administrator, Covered Employees not on the Company’s, or the applicable subsidiary’s, payroll on or before the start of the fourth quarter of the applicable Performance Period will not be bonus eligible in that Plan year.</w:t>
      </w:r>
    </w:p>
    <w:p>
      <w:pPr>
        <w:pStyle w:val="TextBody"/>
        <w:bidi w:val="0"/>
        <w:spacing w:before="0" w:after="240"/>
        <w:jc w:val="both"/>
        <w:rPr>
          <w:rFonts w:ascii="Times New Roman" w:hAnsi="Times New Roman"/>
          <w:b w:val="false"/>
          <w:sz w:val="24"/>
        </w:rPr>
      </w:pPr>
      <w:r>
        <w:rPr>
          <w:rFonts w:ascii="Times New Roman" w:hAnsi="Times New Roman"/>
          <w:b w:val="false"/>
          <w:sz w:val="24"/>
        </w:rPr>
        <w:t>(h)</w:t>
      </w:r>
    </w:p>
    <w:p>
      <w:pPr>
        <w:pStyle w:val="TextBody"/>
        <w:bidi w:val="0"/>
        <w:spacing w:before="0" w:after="240"/>
        <w:jc w:val="both"/>
        <w:rPr>
          <w:rFonts w:ascii="Times New Roman;serif" w:hAnsi="Times New Roman;serif"/>
          <w:b w:val="false"/>
          <w:sz w:val="24"/>
        </w:rPr>
      </w:pPr>
      <w:r>
        <w:rPr>
          <w:rFonts w:ascii="Times New Roman;serif" w:hAnsi="Times New Roman;serif"/>
          <w:b w:val="false"/>
          <w:sz w:val="24"/>
        </w:rPr>
        <w:t>Subject to Section 2(b) hereof, the Administrator may, in its sole discretion and at any time, (i) pay bonuses (including, without limitation, discretionary bonuses) to Covered Employees under the Plan based upon such other terms and conditions as the Administrator may in its discretion determine, (ii) increase, reduce or eliminate any bonus otherwise payable under the Plan and/or (iii) establish or modify Performance Periods. The Administrator may determine the amount of any reduction on the basis of such factors as it deems relevant, and shall not be required to establish any allocation or weighting with respect to the factors it considers.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val="false"/>
          <w:sz w:val="24"/>
        </w:rPr>
      </w:pPr>
      <w:r>
        <w:rPr>
          <w:rFonts w:ascii="Times New Roman" w:hAnsi="Times New Roman"/>
          <w:b w:val="false"/>
          <w:sz w:val="24"/>
        </w:rPr>
        <w:t>5.</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Amendment and Termination</w:t>
      </w:r>
    </w:p>
    <w:p>
      <w:pPr>
        <w:pStyle w:val="TextBody"/>
        <w:bidi w:val="0"/>
        <w:spacing w:before="0" w:after="240"/>
        <w:jc w:val="both"/>
        <w:rPr>
          <w:rFonts w:ascii="Times New Roman" w:hAnsi="Times New Roman"/>
          <w:sz w:val="20"/>
        </w:rPr>
      </w:pPr>
      <w:r>
        <w:rPr>
          <w:rFonts w:ascii="Times New Roman;serif" w:hAnsi="Times New Roman;serif"/>
          <w:b w:val="false"/>
          <w:sz w:val="24"/>
        </w:rPr>
        <w:t>The Company reserves the right to amend or terminate the Plan at any time in its sole discretion.</w:t>
      </w:r>
      <w:r>
        <w:rPr>
          <w:rFonts w:ascii="Times New Roman" w:hAnsi="Times New Roman"/>
          <w:sz w:val="20"/>
        </w:rPr>
        <w:t xml:space="preserve"> </w:t>
      </w:r>
    </w:p>
    <w:p>
      <w:pPr>
        <w:pStyle w:val="TextBody"/>
        <w:bidi w:val="0"/>
        <w:spacing w:before="0" w:after="240"/>
        <w:jc w:val="both"/>
        <w:rPr>
          <w:rFonts w:ascii="Times New Roman" w:hAnsi="Times New Roman"/>
          <w:b w:val="false"/>
          <w:sz w:val="24"/>
        </w:rPr>
      </w:pPr>
      <w:r>
        <w:rPr>
          <w:rFonts w:ascii="Times New Roman" w:hAnsi="Times New Roman"/>
          <w:b w:val="false"/>
          <w:sz w:val="24"/>
        </w:rPr>
        <w:t>6.</w:t>
      </w:r>
    </w:p>
    <w:p>
      <w:pPr>
        <w:pStyle w:val="TextBody"/>
        <w:bidi w:val="0"/>
        <w:spacing w:before="0" w:after="240"/>
        <w:jc w:val="both"/>
        <w:rPr/>
      </w:pPr>
      <w:r>
        <w:rPr>
          <w:rFonts w:ascii="Times New Roman;serif" w:hAnsi="Times New Roman;serif"/>
          <w:b w:val="false"/>
          <w:i/>
          <w:sz w:val="24"/>
        </w:rPr>
        <w:t>Tax Withholding</w:t>
      </w:r>
      <w:r>
        <w:rPr/>
        <w:t xml:space="preserve">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The Company shall withhold all applicable taxes from any bonus payment made under the Plan, including any federal, state and local taxes (including, but not limited to, FICA and SDI obligations).</w:t>
      </w:r>
    </w:p>
    <w:p>
      <w:pPr>
        <w:pStyle w:val="TextBody"/>
        <w:bidi w:val="0"/>
        <w:spacing w:before="0" w:after="0"/>
        <w:jc w:val="both"/>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7.</w:t>
      </w:r>
    </w:p>
    <w:p>
      <w:pPr>
        <w:pStyle w:val="TextBody"/>
        <w:bidi w:val="0"/>
        <w:spacing w:before="0" w:after="240"/>
        <w:jc w:val="both"/>
        <w:rPr/>
      </w:pPr>
      <w:r>
        <w:rPr>
          <w:rFonts w:ascii="Times New Roman;serif" w:hAnsi="Times New Roman;serif"/>
          <w:b w:val="false"/>
          <w:i/>
          <w:sz w:val="24"/>
        </w:rPr>
        <w:t>No Effect on Employment or Service</w:t>
      </w:r>
      <w:r>
        <w:rPr/>
        <w:t xml:space="preserve">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Nothing in the Plan shall interfere with or limit in any way the right of the Company or any of its affiliates to terminate any Covered Employee’s employment or service at any time, with or without cause. Except as may otherwise be provided by a binding written agreement entered into between the Company and any Covered Employee, a Covered Employee’s employment with the Company and its affiliates is on an at-will basis only. The Company expressly reserves the right, which may be exercised at any time and without regard to when during a performance period such exercise occurs, to terminate any individual’s employment with or without cause, and to treat him or her without regard to the effect that such treatment might have upon him or her as a Covered Employee.</w:t>
      </w:r>
    </w:p>
    <w:p>
      <w:pPr>
        <w:pStyle w:val="TextBody"/>
        <w:bidi w:val="0"/>
        <w:spacing w:before="0" w:after="0"/>
        <w:jc w:val="both"/>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8.</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Term of Plan</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The Plan shall become effective as of January 1, 2023, and it shall remain in effect until all payments with respect to the applicable Performance Period have been made.</w:t>
      </w:r>
    </w:p>
    <w:p>
      <w:pPr>
        <w:pStyle w:val="TextBody"/>
        <w:bidi w:val="0"/>
        <w:spacing w:before="0" w:after="0"/>
        <w:jc w:val="both"/>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9.</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Unfunded Obligations</w:t>
      </w:r>
    </w:p>
    <w:p>
      <w:pPr>
        <w:pStyle w:val="TextBody"/>
        <w:bidi w:val="0"/>
        <w:spacing w:before="0" w:after="0"/>
        <w:jc w:val="both"/>
        <w:rPr>
          <w:rFonts w:ascii="Times New Roman" w:hAnsi="Times New Roman"/>
          <w:sz w:val="20"/>
        </w:rPr>
      </w:pPr>
      <w:r>
        <w:rPr>
          <w:rFonts w:ascii="Times New Roman;serif" w:hAnsi="Times New Roman;serif"/>
          <w:b w:val="false"/>
          <w:sz w:val="24"/>
        </w:rPr>
        <w:t>The rights of Covered Employees under the Plan shall be unfunded and unsecured. Amounts payable under the Plan are not and will not be transferred into a trust or otherwise set aside. Neither the Company nor any subsidiary shall be required to establish any special or separate fund or to make any other segregation of assets to assure the payment of any bonus under the Plan.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10.</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 xml:space="preserve">Rights Not Transferable </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No rights of any Covered Employee to payments of any amounts under the Plan shall be sold, exchanged, transferred, assigned, pledged, hypothecated or otherwise disposed of other than by will or by laws of descent and distribution, and any such purported sale, exchange, transfer, assignment, pledge, hypothecation or disposition shall be void.</w:t>
      </w:r>
    </w:p>
    <w:p>
      <w:pPr>
        <w:pStyle w:val="TextBody"/>
        <w:bidi w:val="0"/>
        <w:spacing w:before="0" w:after="0"/>
        <w:jc w:val="both"/>
        <w:rPr/>
      </w:pPr>
      <w:r>
        <w:rPr/>
        <w:t> </w:t>
      </w:r>
    </w:p>
    <w:p>
      <w:pPr>
        <w:pStyle w:val="TextBody"/>
        <w:bidi w:val="0"/>
        <w:spacing w:before="0" w:after="240"/>
        <w:jc w:val="both"/>
        <w:rPr>
          <w:rFonts w:ascii="Times New Roman" w:hAnsi="Times New Roman"/>
          <w:b w:val="false"/>
          <w:sz w:val="24"/>
        </w:rPr>
      </w:pPr>
      <w:r>
        <w:rPr>
          <w:rFonts w:ascii="Times New Roman" w:hAnsi="Times New Roman"/>
          <w:b w:val="false"/>
          <w:sz w:val="24"/>
        </w:rPr>
        <w:t>11.</w:t>
      </w:r>
    </w:p>
    <w:p>
      <w:pPr>
        <w:pStyle w:val="TextBody"/>
        <w:bidi w:val="0"/>
        <w:spacing w:before="0" w:after="240"/>
        <w:jc w:val="both"/>
        <w:rPr>
          <w:rFonts w:ascii="Times New Roman;serif" w:hAnsi="Times New Roman;serif"/>
          <w:b w:val="false"/>
          <w:i/>
          <w:sz w:val="24"/>
        </w:rPr>
      </w:pPr>
      <w:r>
        <w:rPr>
          <w:rFonts w:ascii="Times New Roman;serif" w:hAnsi="Times New Roman;serif"/>
          <w:b w:val="false"/>
          <w:i/>
          <w:sz w:val="24"/>
        </w:rPr>
        <w:t>Governing Law</w:t>
      </w:r>
    </w:p>
    <w:p>
      <w:pPr>
        <w:pStyle w:val="TextBody"/>
        <w:bidi w:val="0"/>
        <w:spacing w:before="0" w:after="0"/>
        <w:jc w:val="both"/>
        <w:rPr>
          <w:rFonts w:ascii="Times New Roman;serif" w:hAnsi="Times New Roman;serif"/>
          <w:b w:val="false"/>
          <w:sz w:val="24"/>
        </w:rPr>
      </w:pPr>
      <w:r>
        <w:rPr>
          <w:rFonts w:ascii="Times New Roman;serif" w:hAnsi="Times New Roman;serif"/>
          <w:b w:val="false"/>
          <w:sz w:val="24"/>
        </w:rPr>
        <w:t>The Plan and the rights and obligations of the parties to the Plan shall be governed by, and construed and interpreted in accordance with, the law of the State of Delaware (without regard to principles of conflicts of law).</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0"/>
        <w:jc w:val="both"/>
        <w:rPr>
          <w:rFonts w:ascii="Times New Roman" w:hAnsi="Times New Roman"/>
          <w:b w:val="false"/>
          <w:sz w:val="24"/>
        </w:rPr>
      </w:pPr>
      <w:r>
        <w:rPr>
          <w:rFonts w:ascii="Times New Roman" w:hAnsi="Times New Roman"/>
          <w:b w:val="false"/>
          <w:sz w:val="24"/>
        </w:rPr>
        <w:t>12.</w:t>
      </w:r>
    </w:p>
    <w:p>
      <w:pPr>
        <w:pStyle w:val="TextBody"/>
        <w:bidi w:val="0"/>
        <w:jc w:val="both"/>
        <w:rPr>
          <w:rFonts w:ascii="Times New Roman;serif" w:hAnsi="Times New Roman;serif"/>
          <w:b w:val="false"/>
          <w:i/>
          <w:sz w:val="24"/>
        </w:rPr>
      </w:pPr>
      <w:r>
        <w:rPr>
          <w:rFonts w:ascii="Times New Roman;serif" w:hAnsi="Times New Roman;serif"/>
          <w:b w:val="false"/>
          <w:i/>
          <w:sz w:val="24"/>
        </w:rPr>
        <w:t>Section 409A</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4"/>
        </w:rPr>
        <w:t>It is intended that the payments under this Plan comply with or be exempt from Section 409A of the Code and the Department of Treasury regulations and other interpretive guidance issued thereunder (“</w:t>
      </w:r>
      <w:r>
        <w:rPr>
          <w:rFonts w:ascii="Times New Roman;serif" w:hAnsi="Times New Roman;serif"/>
          <w:b w:val="false"/>
          <w:sz w:val="24"/>
          <w:u w:val="single"/>
        </w:rPr>
        <w:t>Section 409A</w:t>
      </w:r>
      <w:r>
        <w:rPr>
          <w:rFonts w:ascii="Times New Roman" w:hAnsi="Times New Roman"/>
          <w:sz w:val="20"/>
        </w:rPr>
        <w:t>”</w:t>
      </w:r>
      <w:r>
        <w:rPr>
          <w:rFonts w:ascii="Times New Roman;serif" w:hAnsi="Times New Roman;serif"/>
          <w:b w:val="false"/>
          <w:sz w:val="24"/>
        </w:rPr>
        <w:t>), including without limitation any such regulations or other guidance that may be issued after January 1, 2023. Accordingly, to the maximum extent permitted, this Plan shall be interpreted to be in compliance with Section 409A and any payment hereunder shall be made in compliance with or pursuant to an exemption from Section 409A.</w:t>
      </w:r>
    </w:p>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ampl-ex31_1.htm"/>
      <w:bookmarkStart w:id="26" w:name="ksamplex31_1"/>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Spenser Skates,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Amplitude,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8,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Spenser Skates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Spenser Skates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ampl-ex31_2.htm"/>
      <w:bookmarkStart w:id="28" w:name="ksamplex31_2"/>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OF PRINCIPAL FINANCIAL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Christopher Harms,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Amplitude,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8,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Christopher Harms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Christopher Harms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ampl-ex32_1.htm"/>
      <w:bookmarkStart w:id="30" w:name="ksamplex32_1"/>
      <w:bookmarkEnd w:id="29"/>
      <w:bookmarkEnd w:id="30"/>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Amplitude, Inc. (the “Company”) on Form 10-Q for the quarter ended June 30, 2023 as filed with the Securities and Exchange Commission on the date hereof (the “Report”), I certify, pursuant to 18 U.S.C. § 1350, as adopted pursuant to § 906 of the Sarbanes-Oxley Act of 2002, as amended,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as amended;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8,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Spenser Skates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Spenser Skates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1" w:name="ampl-ex32_2.htm"/>
      <w:bookmarkStart w:id="32" w:name="ksamplex32_2"/>
      <w:bookmarkEnd w:id="31"/>
      <w:bookmarkEnd w:id="32"/>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OF PRINCIPAL FINANCIAL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Amplitude, Inc. (the “Company”) on Form 10-Q for the quarter ended June 30, 2023 as filed with the Securities and Exchange Commission on the date hereof (the “Report”), I certify, pursuant to 18 U.S.C. § 1350, as adopted pursuant to § 906 of the Sarbanes-Oxley Act of 2002, as amended,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as amended;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8,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Christopher Harms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Christopher Harms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6692/000119312521278308/d93786dex31.htm" TargetMode="External"/><Relationship Id="rId3" Type="http://schemas.openxmlformats.org/officeDocument/2006/relationships/hyperlink" Target="https://www.sec.gov/Archives/edgar/data/1866692/000119312521278308/d93786dex32.htm" TargetMode="External"/><Relationship Id="rId4" Type="http://schemas.openxmlformats.org/officeDocument/2006/relationships/hyperlink" Target="https://www.sec.gov/Archives/edgar/data/1866692/000119312521260696/d143868dex42.htm" TargetMode="External"/><Relationship Id="rId5" Type="http://schemas.openxmlformats.org/officeDocument/2006/relationships/hyperlink" Target="https://www.sec.gov/Archives/edgar/data/1866692/000119312521278407/d114916dex44.htm" TargetMode="External"/><Relationship Id="rId6" Type="http://schemas.openxmlformats.org/officeDocument/2006/relationships/hyperlink" Target="https://www.sec.gov/Archives/edgar/data/1866692/000119312521260696/d143868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44327</Words>
  <Characters>244754</Characters>
  <CharactersWithSpaces>290625</CharactersWithSpaces>
  <Paragraphs>7336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