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705485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722630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64135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87630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820" w:right="1620" w:hanging="3799"/>
        <w:spacing w:after="0" w:line="359"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25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4200"/>
        <w:spacing w:after="0"/>
        <w:tabs>
          <w:tab w:leader="none" w:pos="6820" w:val="left"/>
        </w:tabs>
        <w:rPr>
          <w:sz w:val="20"/>
          <w:szCs w:val="20"/>
          <w:color w:val="auto"/>
        </w:rPr>
      </w:pPr>
      <w:r>
        <w:rPr>
          <w:rFonts w:ascii="Times New Roman" w:cs="Times New Roman" w:eastAsia="Times New Roman" w:hAnsi="Times New Roman"/>
          <w:sz w:val="18"/>
          <w:szCs w:val="18"/>
          <w:b w:val="1"/>
          <w:bCs w:val="1"/>
          <w:color w:val="auto"/>
        </w:rPr>
        <w:t>For the transition period from</w:t>
        <w:tab/>
        <w:t>to</w:t>
      </w:r>
    </w:p>
    <w:p>
      <w:pPr>
        <w:spacing w:after="0" w:line="76"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001-40817</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AMPLITUDE,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-289560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73025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81" w:lineRule="exact"/>
        <w:rPr>
          <w:sz w:val="24"/>
          <w:szCs w:val="24"/>
          <w:color w:val="auto"/>
        </w:rPr>
      </w:pPr>
    </w:p>
    <w:tbl>
      <w:tblPr>
        <w:tblLayout w:type="fixed"/>
        <w:tblInd w:w="1780" w:type="dxa"/>
        <w:tblCellMar>
          <w:top w:w="0" w:type="dxa"/>
          <w:left w:w="0" w:type="dxa"/>
          <w:bottom w:w="0" w:type="dxa"/>
          <w:right w:w="0" w:type="dxa"/>
        </w:tblCellMar>
      </w:tblPr>
      <w:tr>
        <w:trPr>
          <w:trHeight w:val="238"/>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45-3937349</w:t>
            </w:r>
          </w:p>
        </w:tc>
      </w:tr>
      <w:tr>
        <w:trPr>
          <w:trHeight w:val="142"/>
        </w:trPr>
        <w:tc>
          <w:tcPr>
            <w:tcW w:w="4120" w:type="dxa"/>
            <w:vAlign w:val="bottom"/>
          </w:tcPr>
          <w:p>
            <w:pPr>
              <w:jc w:val="center"/>
              <w:ind w:right="1964"/>
              <w:spacing w:after="0" w:line="142"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3020" w:type="dxa"/>
            <w:vAlign w:val="bottom"/>
          </w:tcPr>
          <w:p>
            <w:pPr>
              <w:jc w:val="center"/>
              <w:ind w:left="1986"/>
              <w:spacing w:after="0" w:line="142"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0"/>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16"/>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8"/>
              </w:rPr>
              <w:t>201 Third Street, Suite 200</w:t>
            </w:r>
          </w:p>
        </w:tc>
        <w:tc>
          <w:tcPr>
            <w:tcW w:w="3020" w:type="dxa"/>
            <w:vAlign w:val="bottom"/>
          </w:tcPr>
          <w:p>
            <w:pPr>
              <w:spacing w:after="0"/>
              <w:rPr>
                <w:sz w:val="18"/>
                <w:szCs w:val="18"/>
                <w:color w:val="auto"/>
              </w:rPr>
            </w:pPr>
          </w:p>
        </w:tc>
      </w:tr>
      <w:tr>
        <w:trPr>
          <w:trHeight w:val="238"/>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9"/>
              </w:rPr>
              <w:t>San Francisco, California</w:t>
            </w:r>
          </w:p>
        </w:tc>
        <w:tc>
          <w:tcPr>
            <w:tcW w:w="302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94103</w:t>
            </w:r>
          </w:p>
        </w:tc>
      </w:tr>
      <w:tr>
        <w:trPr>
          <w:trHeight w:val="173"/>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231-2353</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208915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76"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Class A Common Stock, $0.00001 par value per share</w:t>
            </w:r>
          </w:p>
        </w:tc>
        <w:tc>
          <w:tcPr>
            <w:tcW w:w="12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AMPL</w:t>
            </w:r>
          </w:p>
        </w:tc>
        <w:tc>
          <w:tcPr>
            <w:tcW w:w="100" w:type="dxa"/>
            <w:vAlign w:val="bottom"/>
          </w:tcPr>
          <w:p>
            <w:pPr>
              <w:spacing w:after="0"/>
              <w:rPr>
                <w:sz w:val="17"/>
                <w:szCs w:val="17"/>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73" w:lineRule="exact"/>
        <w:rPr>
          <w:sz w:val="24"/>
          <w:szCs w:val="24"/>
          <w:color w:val="auto"/>
        </w:rPr>
      </w:pPr>
    </w:p>
    <w:p>
      <w:pPr>
        <w:jc w:val="both"/>
        <w:ind w:right="20"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100" w:firstLine="599"/>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5" w:lineRule="exact"/>
        <w:rPr>
          <w:sz w:val="24"/>
          <w:szCs w:val="24"/>
          <w:color w:val="auto"/>
        </w:rPr>
      </w:pPr>
    </w:p>
    <w:p>
      <w:pPr>
        <w:jc w:val="both"/>
        <w:ind w:right="280" w:firstLine="599"/>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60" w:lineRule="exact"/>
        <w:rPr>
          <w:sz w:val="24"/>
          <w:szCs w:val="24"/>
          <w:color w:val="auto"/>
        </w:rPr>
      </w:pPr>
    </w:p>
    <w:p>
      <w:pPr>
        <w:ind w:right="500" w:firstLine="599"/>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spacing w:after="0" w:line="184" w:lineRule="exact"/>
        <w:tabs>
          <w:tab w:leader="none" w:pos="8140" w:val="left"/>
          <w:tab w:leader="none" w:pos="87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33" w:lineRule="exact"/>
        <w:rPr>
          <w:sz w:val="24"/>
          <w:szCs w:val="24"/>
          <w:color w:val="auto"/>
        </w:rPr>
      </w:pPr>
    </w:p>
    <w:p>
      <w:pPr>
        <w:ind w:right="200" w:firstLine="599"/>
        <w:spacing w:after="0" w:line="297" w:lineRule="auto"/>
        <w:rPr>
          <w:sz w:val="20"/>
          <w:szCs w:val="20"/>
          <w:color w:val="auto"/>
        </w:rPr>
      </w:pPr>
      <w:r>
        <w:rPr>
          <w:rFonts w:ascii="Times New Roman" w:cs="Times New Roman" w:eastAsia="Times New Roman" w:hAnsi="Times New Roman"/>
          <w:sz w:val="16"/>
          <w:szCs w:val="16"/>
          <w:color w:val="auto"/>
        </w:rPr>
        <w:t>As of May 2, 2024, there were 88,471,438 shares of the registrant's Class A common stock and 33,369,488 shares of the registrant's Class B common stock, each with a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802640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7040" w:type="dxa"/>
            <w:vAlign w:val="bottom"/>
            <w:gridSpan w:val="13"/>
            <w:vMerge w:val="restart"/>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260" w:type="dxa"/>
            <w:vAlign w:val="bottom"/>
            <w:tcBorders>
              <w:bottom w:val="single" w:sz="8" w:color="0000FF"/>
            </w:tcBorders>
            <w:gridSpan w:val="9"/>
            <w:vMerge w:val="continue"/>
          </w:tcPr>
          <w:p>
            <w:pPr>
              <w:spacing w:after="0"/>
              <w:rPr>
                <w:sz w:val="14"/>
                <w:szCs w:val="14"/>
                <w:color w:val="auto"/>
              </w:rPr>
            </w:pPr>
          </w:p>
        </w:tc>
        <w:tc>
          <w:tcPr>
            <w:tcW w:w="7040" w:type="dxa"/>
            <w:vAlign w:val="bottom"/>
            <w:gridSpan w:val="13"/>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20" w:type="dxa"/>
            <w:vAlign w:val="bottom"/>
            <w:tcBorders>
              <w:bottom w:val="single" w:sz="8" w:color="0000EE"/>
            </w:tcBorders>
          </w:tcPr>
          <w:p>
            <w:pPr>
              <w:spacing w:after="0"/>
              <w:rPr>
                <w:sz w:val="18"/>
                <w:szCs w:val="18"/>
                <w:color w:val="auto"/>
              </w:rPr>
            </w:pPr>
          </w:p>
        </w:tc>
        <w:tc>
          <w:tcPr>
            <w:tcW w:w="6340" w:type="dxa"/>
            <w:vAlign w:val="bottom"/>
            <w:gridSpan w:val="9"/>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40" w:type="dxa"/>
            <w:vAlign w:val="bottom"/>
            <w:tcBorders>
              <w:top w:val="single" w:sz="8" w:color="0000FF"/>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080" w:type="dxa"/>
            <w:vAlign w:val="bottom"/>
            <w:tcBorders>
              <w:top w:val="single" w:sz="8" w:color="0000FF"/>
            </w:tcBorders>
          </w:tcPr>
          <w:p>
            <w:pPr>
              <w:spacing w:after="0"/>
              <w:rPr>
                <w:sz w:val="18"/>
                <w:szCs w:val="18"/>
                <w:color w:val="auto"/>
              </w:rPr>
            </w:pPr>
          </w:p>
        </w:tc>
        <w:tc>
          <w:tcPr>
            <w:tcW w:w="378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0" w:type="dxa"/>
            <w:vAlign w:val="bottom"/>
            <w:tcBorders>
              <w:bottom w:val="single" w:sz="8" w:color="0000EE"/>
            </w:tcBorders>
          </w:tcPr>
          <w:p>
            <w:pPr>
              <w:spacing w:after="0"/>
              <w:rPr>
                <w:sz w:val="18"/>
                <w:szCs w:val="18"/>
                <w:color w:val="auto"/>
              </w:rPr>
            </w:pPr>
          </w:p>
        </w:tc>
        <w:tc>
          <w:tcPr>
            <w:tcW w:w="556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30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3"/>
          </w:tcPr>
          <w:p>
            <w:pPr>
              <w:spacing w:after="0"/>
              <w:rPr>
                <w:sz w:val="18"/>
                <w:szCs w:val="18"/>
                <w:color w:val="auto"/>
              </w:rPr>
            </w:pPr>
          </w:p>
        </w:tc>
        <w:tc>
          <w:tcPr>
            <w:tcW w:w="742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8"/>
                <w:szCs w:val="18"/>
                <w:color w:val="auto"/>
              </w:rPr>
            </w:pPr>
          </w:p>
        </w:tc>
        <w:tc>
          <w:tcPr>
            <w:tcW w:w="8360" w:type="dxa"/>
            <w:vAlign w:val="bottom"/>
            <w:gridSpan w:val="19"/>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9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4"/>
          </w:tcPr>
          <w:p>
            <w:pPr>
              <w:spacing w:after="0"/>
              <w:rPr>
                <w:sz w:val="18"/>
                <w:szCs w:val="18"/>
                <w:color w:val="auto"/>
              </w:rPr>
            </w:pPr>
          </w:p>
        </w:tc>
        <w:tc>
          <w:tcPr>
            <w:tcW w:w="698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980" w:type="dxa"/>
            <w:vAlign w:val="bottom"/>
            <w:gridSpan w:val="1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573"/>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5520" w:type="dxa"/>
            <w:vAlign w:val="bottom"/>
            <w:gridSpan w:val="20"/>
          </w:tcPr>
          <w:p>
            <w:pPr>
              <w:ind w:left="442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Section 21E of the Securities Exchange Act of 1934, as amended (the “Exchange Act”), and the Private Securities Litigation Reform Act of 1995.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about:</w:t>
      </w:r>
    </w:p>
    <w:p>
      <w:pPr>
        <w:spacing w:after="0" w:line="79" w:lineRule="exact"/>
        <w:rPr>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other operating results;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usage of our Digital Analytics Platform and upsell and cross-sell additional products;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sustain profitability;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spacing w:after="0" w:line="116" w:lineRule="exact"/>
        <w:rPr>
          <w:rFonts w:ascii="Times New Roman" w:cs="Times New Roman" w:eastAsia="Times New Roman" w:hAnsi="Times New Roman"/>
          <w:sz w:val="18"/>
          <w:szCs w:val="18"/>
          <w:color w:val="auto"/>
        </w:rPr>
      </w:pPr>
    </w:p>
    <w:p>
      <w:pPr>
        <w:ind w:left="1020" w:right="28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sales and marketing efforts, including our ability to grow and maintain our channel partners, and our ability to promote our brand;</w:t>
      </w:r>
    </w:p>
    <w:p>
      <w:pPr>
        <w:spacing w:after="0" w:line="54" w:lineRule="exact"/>
        <w:rPr>
          <w:rFonts w:ascii="Times New Roman" w:cs="Times New Roman" w:eastAsia="Times New Roman" w:hAnsi="Times New Roman"/>
          <w:sz w:val="18"/>
          <w:szCs w:val="18"/>
          <w:color w:val="auto"/>
        </w:rPr>
      </w:pPr>
    </w:p>
    <w:p>
      <w:pPr>
        <w:ind w:left="1020" w:right="8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public health crises and other global events, such as the war in Ukraine and the conflict in the Middle East, on our business and the global economy generally;</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growth by incorporating artificial intelligence and machine learning solutions into our platform;</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savings or operational efficiencies and charges in connection with our restructuring plan;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including any international expansion;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 any costs associated therewith;</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associated with being a public company.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caution you that the foregoing list does not contain all of the forward-looking statements made in this Quarterly Report on Form 10-Q.</w:t>
      </w:r>
    </w:p>
    <w:p>
      <w:pPr>
        <w:spacing w:after="0" w:line="22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events, and circumstances reflected in the forward-looking statements will be achieved or occur at all. The outcome of the events described in these forward-looking statements is subject to risks, uncertainties, and other factors discussed in Part I, Item 2, “Management's Discussion and Analysis of Financial Condition and Results of Operations” and Part II, Item 1A, “Risk Factors” in this Quarterly Report on Form 10-Q as well as other documents that may be filed by us from time to time with the Securities and Exchange Commission.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86"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available.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 w:name="page4"/>
    <w:bookmarkEnd w:id="3"/>
    <w:p>
      <w:pPr>
        <w:ind w:right="400"/>
        <w:spacing w:after="0" w:line="281" w:lineRule="auto"/>
        <w:rPr>
          <w:sz w:val="20"/>
          <w:szCs w:val="20"/>
          <w:color w:val="auto"/>
        </w:rPr>
      </w:pPr>
      <w:r>
        <w:rPr>
          <w:rFonts w:ascii="Times New Roman" w:cs="Times New Roman" w:eastAsia="Times New Roman" w:hAnsi="Times New Roman"/>
          <w:sz w:val="18"/>
          <w:szCs w:val="18"/>
          <w:color w:val="auto"/>
        </w:rPr>
        <w:t>forward-looking statements do not reflect the potential impact of any future acquisitions, mergers, dispositions, joint ventures, or investments we may make.</w:t>
      </w:r>
    </w:p>
    <w:p>
      <w:pPr>
        <w:spacing w:after="0" w:line="16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2"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and have filed as exhibits to our most recent Annual Report on Form 10-K and this Quarterly Report on Form 10-Q, completely and with the understanding that our actual future results may be materially different from what we expect. We qualify all of the forward-looking statements in this Quarterly Report on Form 10-Q by these cautionary statements.</w:t>
      </w:r>
    </w:p>
    <w:p>
      <w:pPr>
        <w:spacing w:after="0" w:line="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0" w:right="3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II, Item 1A, “Risk Factors” in this Quarterly Report on Form 10-Q. The following is a summary of principal risks and uncertainties that could materially adversely affect our business, financial condition, and results of operations. This summary should be read in conjunction with the “Risk Factors” section and should not be relied upon as an exhaustive summary of the material risks and uncertainties facing our business.</w:t>
      </w:r>
    </w:p>
    <w:p>
      <w:pPr>
        <w:spacing w:after="0" w:line="74" w:lineRule="exact"/>
        <w:rPr>
          <w:sz w:val="20"/>
          <w:szCs w:val="20"/>
          <w:color w:val="auto"/>
        </w:rPr>
      </w:pPr>
    </w:p>
    <w:p>
      <w:pPr>
        <w:ind w:left="1020" w:right="10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been growing rapidly over the last several years, which makes it difficult to forecast our future results of operations and increases the risk of your investment.</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As our costs increase, we may not be able to generate sufficient revenue to achieve and sustain profitability.</w:t>
      </w:r>
    </w:p>
    <w:p>
      <w:pPr>
        <w:spacing w:after="0" w:line="116" w:lineRule="exact"/>
        <w:rPr>
          <w:rFonts w:ascii="Times New Roman" w:cs="Times New Roman" w:eastAsia="Times New Roman" w:hAnsi="Times New Roman"/>
          <w:sz w:val="18"/>
          <w:szCs w:val="18"/>
          <w:color w:val="auto"/>
        </w:rPr>
      </w:pPr>
    </w:p>
    <w:p>
      <w:pPr>
        <w:ind w:left="1020" w:right="120" w:hanging="504"/>
        <w:spacing w:after="0" w:line="265"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existing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p>
    <w:p>
      <w:pPr>
        <w:spacing w:after="0" w:line="69" w:lineRule="exact"/>
        <w:rPr>
          <w:rFonts w:ascii="Times New Roman" w:cs="Times New Roman" w:eastAsia="Times New Roman" w:hAnsi="Times New Roman"/>
          <w:sz w:val="18"/>
          <w:szCs w:val="18"/>
          <w:color w:val="auto"/>
        </w:rPr>
      </w:pPr>
    </w:p>
    <w:p>
      <w:pPr>
        <w:ind w:left="1020" w:right="60" w:hanging="504"/>
        <w:spacing w:after="0" w:line="312" w:lineRule="auto"/>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fluctuations in our financial results and key metrics, making it difficult to project future results. If we fail to meet the expectations of securities analysts or investors with respect to our results of operations, the trading price of our Class A common stock could decline.</w:t>
      </w:r>
    </w:p>
    <w:p>
      <w:pPr>
        <w:spacing w:after="0" w:line="31" w:lineRule="exact"/>
        <w:rPr>
          <w:rFonts w:ascii="Times New Roman" w:cs="Times New Roman" w:eastAsia="Times New Roman" w:hAnsi="Times New Roman"/>
          <w:sz w:val="17"/>
          <w:szCs w:val="17"/>
          <w:color w:val="auto"/>
        </w:rPr>
      </w:pPr>
    </w:p>
    <w:p>
      <w:pPr>
        <w:ind w:left="1020" w:right="12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focus on sales to larger organizations and may become more dependent on those relationships, which may increase the variability of our sales cycle and our results of operations.</w:t>
      </w:r>
    </w:p>
    <w:p>
      <w:pPr>
        <w:spacing w:after="0" w:line="54" w:lineRule="exact"/>
        <w:rPr>
          <w:rFonts w:ascii="Times New Roman" w:cs="Times New Roman" w:eastAsia="Times New Roman" w:hAnsi="Times New Roman"/>
          <w:sz w:val="18"/>
          <w:szCs w:val="18"/>
          <w:color w:val="auto"/>
        </w:rPr>
      </w:pPr>
    </w:p>
    <w:p>
      <w:pPr>
        <w:ind w:left="1020" w:right="32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 revenue over the term of our customer contracts. Consequently, downturns or upturns in new sales may not be immediately reflected in our results of operations and may be difficult to discern.</w:t>
      </w:r>
    </w:p>
    <w:p>
      <w:pPr>
        <w:spacing w:after="0" w:line="54" w:lineRule="exact"/>
        <w:rPr>
          <w:rFonts w:ascii="Times New Roman" w:cs="Times New Roman" w:eastAsia="Times New Roman" w:hAnsi="Times New Roman"/>
          <w:sz w:val="18"/>
          <w:szCs w:val="18"/>
          <w:color w:val="auto"/>
        </w:rPr>
      </w:pPr>
    </w:p>
    <w:p>
      <w:pPr>
        <w:ind w:left="1020" w:right="64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or the global economy, or reductions in software spending, could limit our ability to grow our business and materially adversely affect our business, financial condition, and results of operations.</w:t>
      </w:r>
    </w:p>
    <w:p>
      <w:pPr>
        <w:spacing w:after="0" w:line="54" w:lineRule="exact"/>
        <w:rPr>
          <w:rFonts w:ascii="Times New Roman" w:cs="Times New Roman" w:eastAsia="Times New Roman" w:hAnsi="Times New Roman"/>
          <w:sz w:val="18"/>
          <w:szCs w:val="18"/>
          <w:color w:val="auto"/>
        </w:rPr>
      </w:pPr>
    </w:p>
    <w:p>
      <w:pPr>
        <w:ind w:left="1020" w:right="28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restructuring plan may not result in anticipated savings or operational efficiencies and could result in total costs and expenses that are greater than expected, which could materially adversely affect our business, financial condition and results of operations.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for SaaS applications develops more slowly than we expect or declines, our business would be materially adversely affected.</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rights may not protect our business or provide us with a competitive advantage, which could have a material adverse effect on our business, financial condition, and results of operations.</w:t>
      </w:r>
    </w:p>
    <w:p>
      <w:pPr>
        <w:spacing w:after="0" w:line="54" w:lineRule="exact"/>
        <w:rPr>
          <w:rFonts w:ascii="Times New Roman" w:cs="Times New Roman" w:eastAsia="Times New Roman" w:hAnsi="Times New Roman"/>
          <w:sz w:val="18"/>
          <w:szCs w:val="18"/>
          <w:color w:val="auto"/>
        </w:rPr>
      </w:pPr>
    </w:p>
    <w:p>
      <w:pPr>
        <w:ind w:left="1020" w:right="6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 regulation, including import, export control, economic sanctions, and trade sanctions, and anti-corruption laws and regulations, which may expose us to liability and increase our costs.</w:t>
      </w:r>
    </w:p>
    <w:p>
      <w:pPr>
        <w:spacing w:after="0" w:line="54" w:lineRule="exact"/>
        <w:rPr>
          <w:rFonts w:ascii="Times New Roman" w:cs="Times New Roman" w:eastAsia="Times New Roman" w:hAnsi="Times New Roman"/>
          <w:sz w:val="18"/>
          <w:szCs w:val="18"/>
          <w:color w:val="auto"/>
        </w:rPr>
      </w:pPr>
    </w:p>
    <w:p>
      <w:pPr>
        <w:ind w:left="1020" w:right="60" w:hanging="504"/>
        <w:spacing w:after="0" w:line="26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spacing w:after="0" w:line="7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Class A common stock has been, and in the future, may be, volatile, and could decline significantly and rapidly.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have the ability to influence the outcome of director elections and other matters requiring stockholder approval.</w:t>
      </w:r>
    </w:p>
    <w:p>
      <w:pPr>
        <w:spacing w:after="0" w:line="116" w:lineRule="exact"/>
        <w:rPr>
          <w:rFonts w:ascii="Times New Roman" w:cs="Times New Roman" w:eastAsia="Times New Roman" w:hAnsi="Times New Roman"/>
          <w:sz w:val="18"/>
          <w:szCs w:val="18"/>
          <w:color w:val="auto"/>
        </w:rPr>
      </w:pPr>
    </w:p>
    <w:p>
      <w:pPr>
        <w:ind w:left="1020" w:hanging="504"/>
        <w:spacing w:after="0" w:line="26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our existing stockholders, executive officers, and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0" w:type="dxa"/>
            <w:vAlign w:val="bottom"/>
          </w:tcPr>
          <w:p>
            <w:pPr>
              <w:spacing w:after="0"/>
              <w:rPr>
                <w:sz w:val="17"/>
                <w:szCs w:val="17"/>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2"/>
        </w:trPr>
        <w:tc>
          <w:tcPr>
            <w:tcW w:w="7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00" w:type="dxa"/>
            <w:vAlign w:val="bottom"/>
          </w:tcPr>
          <w:p>
            <w:pPr>
              <w:spacing w:after="0"/>
              <w:rPr>
                <w:sz w:val="17"/>
                <w:szCs w:val="17"/>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5"/>
        </w:trPr>
        <w:tc>
          <w:tcPr>
            <w:tcW w:w="7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265,705</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248,491</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Marketable securities, current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50,442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73,909</w:t>
            </w:r>
          </w:p>
        </w:tc>
        <w:tc>
          <w:tcPr>
            <w:tcW w:w="100" w:type="dxa"/>
            <w:vAlign w:val="bottom"/>
          </w:tcPr>
          <w:p>
            <w:pPr>
              <w:spacing w:after="0"/>
              <w:rPr>
                <w:sz w:val="19"/>
                <w:szCs w:val="19"/>
                <w:color w:val="auto"/>
              </w:rPr>
            </w:pPr>
          </w:p>
        </w:tc>
      </w:tr>
      <w:tr>
        <w:trPr>
          <w:trHeight w:val="211"/>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$1,244</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and $1,101 as of March 31, 2024 and December 31, 2023, respectively</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36,066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29,496</w:t>
            </w:r>
          </w:p>
        </w:tc>
        <w:tc>
          <w:tcPr>
            <w:tcW w:w="100" w:type="dxa"/>
            <w:vAlign w:val="bottom"/>
            <w:shd w:val="clear" w:color="auto" w:fill="CFF0FC"/>
          </w:tcPr>
          <w:p>
            <w:pPr>
              <w:spacing w:after="0"/>
              <w:rPr>
                <w:sz w:val="19"/>
                <w:szCs w:val="19"/>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16,624</w:t>
            </w:r>
          </w:p>
        </w:tc>
        <w:tc>
          <w:tcPr>
            <w:tcW w:w="100" w:type="dxa"/>
            <w:vAlign w:val="bottom"/>
          </w:tcPr>
          <w:p>
            <w:pPr>
              <w:spacing w:after="0"/>
              <w:rPr>
                <w:sz w:val="19"/>
                <w:szCs w:val="19"/>
                <w:color w:val="auto"/>
              </w:rPr>
            </w:pPr>
          </w:p>
        </w:tc>
      </w:tr>
      <w:tr>
        <w:trPr>
          <w:trHeight w:val="23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commissions, current</w:t>
            </w:r>
          </w:p>
        </w:tc>
        <w:tc>
          <w:tcPr>
            <w:tcW w:w="2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13,190</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11,444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384,074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379,964</w:t>
            </w:r>
          </w:p>
        </w:tc>
        <w:tc>
          <w:tcPr>
            <w:tcW w:w="100" w:type="dxa"/>
            <w:vAlign w:val="bottom"/>
          </w:tcPr>
          <w:p>
            <w:pPr>
              <w:spacing w:after="0"/>
              <w:rPr>
                <w:sz w:val="18"/>
                <w:szCs w:val="18"/>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10,871</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10,068</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4,073</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4,073</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commissions, noncurrent</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25,071</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26,942</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6,856</w:t>
            </w:r>
          </w:p>
        </w:tc>
        <w:tc>
          <w:tcPr>
            <w:tcW w:w="100" w:type="dxa"/>
            <w:vAlign w:val="bottom"/>
          </w:tcPr>
          <w:p>
            <w:pPr>
              <w:spacing w:after="0"/>
              <w:rPr>
                <w:sz w:val="19"/>
                <w:szCs w:val="19"/>
                <w:color w:val="auto"/>
              </w:rPr>
            </w:pPr>
          </w:p>
        </w:tc>
      </w:tr>
      <w:tr>
        <w:trPr>
          <w:trHeight w:val="23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noncurrent assets</w:t>
            </w:r>
          </w:p>
        </w:tc>
        <w:tc>
          <w:tcPr>
            <w:tcW w:w="2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6,716</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4,303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7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437,911</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433,684</w:t>
            </w:r>
          </w:p>
        </w:tc>
        <w:tc>
          <w:tcPr>
            <w:tcW w:w="10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14,573</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3,063</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26,228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26,657</w:t>
            </w:r>
          </w:p>
        </w:tc>
        <w:tc>
          <w:tcPr>
            <w:tcW w:w="100" w:type="dxa"/>
            <w:vAlign w:val="bottom"/>
          </w:tcPr>
          <w:p>
            <w:pPr>
              <w:spacing w:after="0"/>
              <w:rPr>
                <w:sz w:val="19"/>
                <w:szCs w:val="19"/>
                <w:color w:val="auto"/>
              </w:rPr>
            </w:pPr>
          </w:p>
        </w:tc>
      </w:tr>
      <w:tr>
        <w:trPr>
          <w:trHeight w:val="23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102,774</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102,573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143,575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132,293</w:t>
            </w:r>
          </w:p>
        </w:tc>
        <w:tc>
          <w:tcPr>
            <w:tcW w:w="100" w:type="dxa"/>
            <w:vAlign w:val="bottom"/>
          </w:tcPr>
          <w:p>
            <w:pPr>
              <w:spacing w:after="0"/>
              <w:rPr>
                <w:sz w:val="18"/>
                <w:szCs w:val="18"/>
                <w:color w:val="auto"/>
              </w:rPr>
            </w:pPr>
          </w:p>
        </w:tc>
      </w:tr>
      <w:tr>
        <w:trPr>
          <w:trHeight w:val="23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3,604</w:t>
            </w:r>
          </w:p>
        </w:tc>
        <w:tc>
          <w:tcPr>
            <w:tcW w:w="100" w:type="dxa"/>
            <w:vAlign w:val="bottom"/>
            <w:shd w:val="clear" w:color="auto" w:fill="CFF0FC"/>
          </w:tcPr>
          <w:p>
            <w:pPr>
              <w:spacing w:after="0"/>
              <w:rPr>
                <w:sz w:val="20"/>
                <w:szCs w:val="20"/>
                <w:color w:val="auto"/>
              </w:rPr>
            </w:pPr>
          </w:p>
        </w:tc>
      </w:tr>
      <w:tr>
        <w:trPr>
          <w:trHeight w:val="226"/>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100" w:type="dxa"/>
            <w:vAlign w:val="bottom"/>
          </w:tcPr>
          <w:p>
            <w:pPr>
              <w:spacing w:after="0"/>
              <w:rPr>
                <w:sz w:val="19"/>
                <w:szCs w:val="19"/>
                <w:color w:val="auto"/>
              </w:rPr>
            </w:pPr>
          </w:p>
        </w:tc>
      </w:tr>
      <w:tr>
        <w:trPr>
          <w:trHeight w:val="223"/>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148,701</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138,931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02"/>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Preferred stock, $0.00001 par value per share; 20,000 shares authorized</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as of March 31, 2024 and December 31, 2023; zero shares issued and</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outstanding as of March 31, 2024 and December 31, 2023</w:t>
            </w:r>
          </w:p>
        </w:tc>
        <w:tc>
          <w:tcPr>
            <w:tcW w:w="26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Class A common stock, $0.00001 par value per share; 600,000 shares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2"/>
        </w:trPr>
        <w:tc>
          <w:tcPr>
            <w:tcW w:w="77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authorized as of March 31, 2024 and December 31, 2023,</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7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88,239 and 85,628 shares issued and outstanding as of</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77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March 31, 2024 and December 31, 2023, respectively</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9"/>
                <w:szCs w:val="19"/>
                <w:color w:val="auto"/>
              </w:rPr>
            </w:pPr>
          </w:p>
        </w:tc>
      </w:tr>
      <w:tr>
        <w:trPr>
          <w:trHeight w:val="202"/>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Class B common stock, $0.00001 par value per share; 600,000</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shares authorized as of March 31, 2024 and December 31, 2023;</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33,370 and 34,382 shares issued and outstanding as of</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March 31, 2024 and December 31, 2023, respectively</w:t>
            </w:r>
          </w:p>
        </w:tc>
        <w:tc>
          <w:tcPr>
            <w:tcW w:w="26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674,313</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658,463</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(114 )</w:t>
            </w:r>
          </w:p>
        </w:tc>
        <w:tc>
          <w:tcPr>
            <w:tcW w:w="20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(181 )</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(384,990 )</w:t>
            </w:r>
          </w:p>
        </w:tc>
        <w:tc>
          <w:tcPr>
            <w:tcW w:w="20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(363,530 )</w:t>
            </w:r>
          </w:p>
        </w:tc>
      </w:tr>
      <w:tr>
        <w:trPr>
          <w:trHeight w:val="223"/>
        </w:trPr>
        <w:tc>
          <w:tcPr>
            <w:tcW w:w="77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289,210</w:t>
            </w:r>
          </w:p>
        </w:tc>
        <w:tc>
          <w:tcPr>
            <w:tcW w:w="260" w:type="dxa"/>
            <w:vAlign w:val="bottom"/>
            <w:tcBorders>
              <w:top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294,753</w:t>
            </w:r>
          </w:p>
        </w:tc>
        <w:tc>
          <w:tcPr>
            <w:tcW w:w="100" w:type="dxa"/>
            <w:vAlign w:val="bottom"/>
            <w:tcBorders>
              <w:top w:val="single" w:sz="8" w:color="CFF0FC"/>
            </w:tcBorders>
          </w:tcPr>
          <w:p>
            <w:pPr>
              <w:spacing w:after="0"/>
              <w:rPr>
                <w:sz w:val="19"/>
                <w:szCs w:val="19"/>
                <w:color w:val="auto"/>
              </w:rPr>
            </w:pPr>
          </w:p>
        </w:tc>
      </w:tr>
      <w:tr>
        <w:trPr>
          <w:trHeight w:val="266"/>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437,911</w:t>
            </w:r>
          </w:p>
        </w:tc>
        <w:tc>
          <w:tcPr>
            <w:tcW w:w="26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433,684</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-5213985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-5213985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-4040505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-4040505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-3133090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-3133090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-2533650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-2533650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-333375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3" w:lineRule="exact"/>
        <w:rPr>
          <w:sz w:val="20"/>
          <w:szCs w:val="20"/>
          <w:color w:val="auto"/>
        </w:rPr>
      </w:pPr>
    </w:p>
    <w:p>
      <w:pPr>
        <w:jc w:val="center"/>
        <w:ind w:left="72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2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54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r>
      <w:tr>
        <w:trPr>
          <w:trHeight w:val="238"/>
        </w:trPr>
        <w:tc>
          <w:tcPr>
            <w:tcW w:w="7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3"/>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72,624</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66,477</w:t>
            </w:r>
          </w:p>
        </w:tc>
        <w:tc>
          <w:tcPr>
            <w:tcW w:w="260" w:type="dxa"/>
            <w:vAlign w:val="bottom"/>
            <w:shd w:val="clear" w:color="auto" w:fill="CFF0FC"/>
          </w:tcPr>
          <w:p>
            <w:pPr>
              <w:spacing w:after="0"/>
              <w:rPr>
                <w:sz w:val="21"/>
                <w:szCs w:val="21"/>
                <w:color w:val="auto"/>
              </w:rPr>
            </w:pPr>
          </w:p>
        </w:tc>
      </w:t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18,889</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19,187</w:t>
            </w:r>
          </w:p>
        </w:tc>
        <w:tc>
          <w:tcPr>
            <w:tcW w:w="260" w:type="dxa"/>
            <w:vAlign w:val="bottom"/>
          </w:tcPr>
          <w:p>
            <w:pPr>
              <w:spacing w:after="0"/>
              <w:rPr>
                <w:sz w:val="20"/>
                <w:szCs w:val="20"/>
                <w:color w:val="auto"/>
              </w:rPr>
            </w:pPr>
          </w:p>
        </w:tc>
      </w:tr>
      <w:tr>
        <w:trPr>
          <w:trHeight w:val="236"/>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53,735</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47,290</w:t>
            </w:r>
          </w:p>
        </w:tc>
        <w:tc>
          <w:tcPr>
            <w:tcW w:w="260" w:type="dxa"/>
            <w:vAlign w:val="bottom"/>
            <w:tcBorders>
              <w:bottom w:val="single" w:sz="8" w:color="CFF0FC"/>
            </w:tcBorders>
            <w:shd w:val="clear" w:color="auto" w:fill="CFF0FC"/>
          </w:tcPr>
          <w:p>
            <w:pPr>
              <w:spacing w:after="0"/>
              <w:rPr>
                <w:sz w:val="20"/>
                <w:szCs w:val="20"/>
                <w:color w:val="auto"/>
              </w:rPr>
            </w:pPr>
          </w:p>
        </w:tc>
      </w:tr>
      <w:tr>
        <w:trPr>
          <w:trHeight w:val="23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7"/>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22,953</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23,708</w:t>
            </w:r>
          </w:p>
        </w:tc>
        <w:tc>
          <w:tcPr>
            <w:tcW w:w="260" w:type="dxa"/>
            <w:vAlign w:val="bottom"/>
            <w:shd w:val="clear" w:color="auto" w:fill="CFF0FC"/>
          </w:tcPr>
          <w:p>
            <w:pPr>
              <w:spacing w:after="0"/>
              <w:rPr>
                <w:sz w:val="21"/>
                <w:szCs w:val="21"/>
                <w:color w:val="auto"/>
              </w:rPr>
            </w:pPr>
          </w:p>
        </w:tc>
      </w:tr>
      <w:tr>
        <w:trPr>
          <w:trHeight w:val="238"/>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40,817</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39,133</w:t>
            </w:r>
          </w:p>
        </w:tc>
        <w:tc>
          <w:tcPr>
            <w:tcW w:w="260" w:type="dxa"/>
            <w:vAlign w:val="bottom"/>
          </w:tcPr>
          <w:p>
            <w:pPr>
              <w:spacing w:after="0"/>
              <w:rPr>
                <w:sz w:val="20"/>
                <w:szCs w:val="20"/>
                <w:color w:val="auto"/>
              </w:rPr>
            </w:pPr>
          </w:p>
        </w:tc>
      </w:tr>
      <w:tr>
        <w:trPr>
          <w:trHeight w:val="243"/>
        </w:trPr>
        <w:tc>
          <w:tcPr>
            <w:tcW w:w="7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14,670</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13,622</w:t>
            </w:r>
          </w:p>
        </w:tc>
        <w:tc>
          <w:tcPr>
            <w:tcW w:w="260" w:type="dxa"/>
            <w:vAlign w:val="bottom"/>
            <w:tcBorders>
              <w:bottom w:val="single" w:sz="8" w:color="CFF0FC"/>
            </w:tcBorders>
            <w:shd w:val="clear" w:color="auto" w:fill="CFF0FC"/>
          </w:tcPr>
          <w:p>
            <w:pPr>
              <w:spacing w:after="0"/>
              <w:rPr>
                <w:sz w:val="21"/>
                <w:szCs w:val="21"/>
                <w:color w:val="auto"/>
              </w:rPr>
            </w:pPr>
          </w:p>
        </w:tc>
      </w:tr>
      <w:tr>
        <w:trPr>
          <w:trHeight w:val="236"/>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78,440</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76,463</w:t>
            </w:r>
          </w:p>
        </w:tc>
        <w:tc>
          <w:tcPr>
            <w:tcW w:w="260" w:type="dxa"/>
            <w:vAlign w:val="bottom"/>
          </w:tcPr>
          <w:p>
            <w:pPr>
              <w:spacing w:after="0"/>
              <w:rPr>
                <w:sz w:val="20"/>
                <w:szCs w:val="20"/>
                <w:color w:val="auto"/>
              </w:rPr>
            </w:pPr>
          </w:p>
        </w:tc>
      </w:tr>
      <w:tr>
        <w:trPr>
          <w:trHeight w:val="236"/>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260" w:type="dxa"/>
            <w:vAlign w:val="bottom"/>
            <w:tcBorders>
              <w:bottom w:val="single" w:sz="8" w:color="CFF0FC"/>
            </w:tcBorders>
            <w:shd w:val="clear" w:color="auto" w:fill="CFF0FC"/>
          </w:tcPr>
          <w:p>
            <w:pPr>
              <w:spacing w:after="0"/>
              <w:rPr>
                <w:sz w:val="20"/>
                <w:szCs w:val="20"/>
                <w:color w:val="auto"/>
              </w:rPr>
            </w:pPr>
          </w:p>
        </w:tc>
      </w:tr>
      <w:tr>
        <w:trPr>
          <w:trHeight w:val="236"/>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before provision for (benefit from) income taxes</w:t>
            </w:r>
          </w:p>
        </w:tc>
        <w:tc>
          <w:tcPr>
            <w:tcW w:w="9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(21,034 )</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(26,035 )</w:t>
            </w:r>
          </w:p>
        </w:tc>
      </w:tr>
      <w:tr>
        <w:trPr>
          <w:trHeight w:val="243"/>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9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60" w:type="dxa"/>
            <w:vAlign w:val="bottom"/>
            <w:tcBorders>
              <w:bottom w:val="single" w:sz="8" w:color="CFF0FC"/>
            </w:tcBorders>
            <w:shd w:val="clear" w:color="auto" w:fill="CFF0FC"/>
          </w:tcPr>
          <w:p>
            <w:pPr>
              <w:spacing w:after="0"/>
              <w:rPr>
                <w:sz w:val="21"/>
                <w:szCs w:val="21"/>
                <w:color w:val="auto"/>
              </w:rPr>
            </w:pPr>
          </w:p>
        </w:tc>
      </w:tr>
      <w:tr>
        <w:trPr>
          <w:trHeight w:val="236"/>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(21,460 )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(26,315 )</w:t>
            </w:r>
          </w:p>
        </w:tc>
      </w:tr>
      <w:tr>
        <w:trPr>
          <w:trHeight w:val="20"/>
        </w:trPr>
        <w:tc>
          <w:tcPr>
            <w:tcW w:w="75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Class A and Class B common stockholders:</w:t>
            </w: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38"/>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9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(0.18 )</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(0.23 )</w:t>
            </w:r>
          </w:p>
        </w:tc>
      </w:tr>
      <w:tr>
        <w:trPr>
          <w:trHeight w:val="20"/>
        </w:trPr>
        <w:tc>
          <w:tcPr>
            <w:tcW w:w="75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7540" w:type="dxa"/>
            <w:vAlign w:val="bottom"/>
            <w:shd w:val="clear" w:color="auto" w:fill="CFF0FC"/>
          </w:tcPr>
          <w:p>
            <w:pPr>
              <w:ind w:left="20"/>
              <w:spacing w:after="0" w:line="195"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r>
      <w:tr>
        <w:trPr>
          <w:trHeight w:val="248"/>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Class A and Class B common stockholders:</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38"/>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9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120,826</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114,369</w:t>
            </w:r>
          </w:p>
        </w:tc>
        <w:tc>
          <w:tcPr>
            <w:tcW w:w="260" w:type="dxa"/>
            <w:vAlign w:val="bottom"/>
          </w:tcPr>
          <w:p>
            <w:pPr>
              <w:spacing w:after="0"/>
              <w:rPr>
                <w:sz w:val="20"/>
                <w:szCs w:val="20"/>
                <w:color w:val="auto"/>
              </w:rPr>
            </w:pPr>
          </w:p>
        </w:tc>
      </w:tr>
      <w:tr>
        <w:trPr>
          <w:trHeight w:val="20"/>
        </w:trPr>
        <w:tc>
          <w:tcPr>
            <w:tcW w:w="75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7"/>
        </w:trPr>
        <w:tc>
          <w:tcPr>
            <w:tcW w:w="7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43"/>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38"/>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unrealized gains (losses) on marketable securities</w:t>
            </w:r>
          </w:p>
        </w:tc>
        <w:tc>
          <w:tcPr>
            <w:tcW w:w="9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60" w:type="dxa"/>
            <w:vAlign w:val="bottom"/>
          </w:tcPr>
          <w:p>
            <w:pPr>
              <w:spacing w:after="0"/>
              <w:rPr>
                <w:sz w:val="20"/>
                <w:szCs w:val="20"/>
                <w:color w:val="auto"/>
              </w:rPr>
            </w:pPr>
          </w:p>
        </w:tc>
      </w:tr>
      <w:tr>
        <w:trPr>
          <w:trHeight w:val="20"/>
        </w:trPr>
        <w:tc>
          <w:tcPr>
            <w:tcW w:w="75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43"/>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Comprehensive loss</w:t>
            </w: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(21,393 )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(26,043 )</w:t>
            </w:r>
          </w:p>
        </w:tc>
      </w:tr>
      <w:tr>
        <w:trPr>
          <w:trHeight w:val="20"/>
        </w:trPr>
        <w:tc>
          <w:tcPr>
            <w:tcW w:w="75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5801995</wp:posOffset>
            </wp:positionH>
            <wp:positionV relativeFrom="paragraph">
              <wp:posOffset>-2927985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-2927985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-2302510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-2302510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-1977390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-1977390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-1660525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-1660525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tcPr>
          <w:p>
            <w:pPr>
              <w:spacing w:after="0"/>
              <w:rPr>
                <w:sz w:val="12"/>
                <w:szCs w:val="12"/>
                <w:color w:val="auto"/>
              </w:rPr>
            </w:pPr>
          </w:p>
        </w:tc>
        <w:tc>
          <w:tcPr>
            <w:tcW w:w="186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Class A and Class B common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12"/>
                <w:szCs w:val="12"/>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Accumulated other</w:t>
            </w: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62"/>
        </w:trPr>
        <w:tc>
          <w:tcPr>
            <w:tcW w:w="3340" w:type="dxa"/>
            <w:vAlign w:val="bottom"/>
          </w:tcPr>
          <w:p>
            <w:pPr>
              <w:spacing w:after="0"/>
              <w:rPr>
                <w:sz w:val="14"/>
                <w:szCs w:val="14"/>
                <w:color w:val="auto"/>
              </w:rPr>
            </w:pPr>
          </w:p>
        </w:tc>
        <w:tc>
          <w:tcPr>
            <w:tcW w:w="1080" w:type="dxa"/>
            <w:vAlign w:val="bottom"/>
            <w:tcBorders>
              <w:bottom w:val="single" w:sz="8" w:color="auto"/>
            </w:tcBorders>
            <w:gridSpan w:val="3"/>
          </w:tcPr>
          <w:p>
            <w:pPr>
              <w:jc w:val="center"/>
              <w:ind w:left="69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4"/>
                <w:szCs w:val="14"/>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4"/>
                <w:szCs w:val="14"/>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r>
      <w:tr>
        <w:trPr>
          <w:trHeight w:val="155"/>
        </w:trPr>
        <w:tc>
          <w:tcPr>
            <w:tcW w:w="3340" w:type="dxa"/>
            <w:vAlign w:val="bottom"/>
          </w:tcPr>
          <w:p>
            <w:pPr>
              <w:spacing w:after="0"/>
              <w:rPr>
                <w:sz w:val="13"/>
                <w:szCs w:val="13"/>
                <w:color w:val="auto"/>
              </w:rPr>
            </w:pPr>
          </w:p>
        </w:tc>
        <w:tc>
          <w:tcPr>
            <w:tcW w:w="8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100" w:type="dxa"/>
            <w:vAlign w:val="bottom"/>
          </w:tcPr>
          <w:p>
            <w:pPr>
              <w:spacing w:after="0"/>
              <w:rPr>
                <w:sz w:val="13"/>
                <w:szCs w:val="13"/>
                <w:color w:val="auto"/>
              </w:rPr>
            </w:pPr>
          </w:p>
        </w:tc>
      </w:tr>
      <w:tr>
        <w:trPr>
          <w:trHeight w:val="155"/>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120,010</w:t>
            </w:r>
          </w:p>
        </w:tc>
        <w:tc>
          <w:tcPr>
            <w:tcW w:w="2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658,463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(181 )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(363,530 )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294,753</w:t>
            </w:r>
          </w:p>
        </w:tc>
        <w:tc>
          <w:tcPr>
            <w:tcW w:w="100" w:type="dxa"/>
            <w:vAlign w:val="bottom"/>
            <w:shd w:val="clear" w:color="auto" w:fill="CFF0FC"/>
          </w:tcPr>
          <w:p>
            <w:pPr>
              <w:spacing w:after="0"/>
              <w:rPr>
                <w:sz w:val="13"/>
                <w:szCs w:val="13"/>
                <w:color w:val="auto"/>
              </w:rPr>
            </w:pPr>
          </w:p>
        </w:tc>
      </w:tr>
      <w:tr>
        <w:trPr>
          <w:trHeight w:val="162"/>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21,765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21,765</w:t>
            </w:r>
          </w:p>
        </w:tc>
        <w:tc>
          <w:tcPr>
            <w:tcW w:w="100" w:type="dxa"/>
            <w:vAlign w:val="bottom"/>
          </w:tcPr>
          <w:p>
            <w:pPr>
              <w:spacing w:after="0"/>
              <w:rPr>
                <w:sz w:val="14"/>
                <w:szCs w:val="14"/>
                <w:color w:val="auto"/>
              </w:rPr>
            </w:pPr>
          </w:p>
        </w:tc>
      </w:tr>
      <w:tr>
        <w:trPr>
          <w:trHeight w:val="162"/>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699</w:t>
            </w:r>
          </w:p>
        </w:tc>
        <w:tc>
          <w:tcPr>
            <w:tcW w:w="2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1,794</w:t>
            </w:r>
          </w:p>
        </w:tc>
        <w:tc>
          <w:tcPr>
            <w:tcW w:w="100" w:type="dxa"/>
            <w:vAlign w:val="bottom"/>
            <w:shd w:val="clear" w:color="auto" w:fill="CFF0FC"/>
          </w:tcPr>
          <w:p>
            <w:pPr>
              <w:spacing w:after="0"/>
              <w:rPr>
                <w:sz w:val="14"/>
                <w:szCs w:val="14"/>
                <w:color w:val="auto"/>
              </w:rPr>
            </w:pPr>
          </w:p>
        </w:tc>
      </w:tr>
      <w:tr>
        <w:trPr>
          <w:trHeight w:val="162"/>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Vesting of early exercised stock options</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r>
      <w:tr>
        <w:trPr>
          <w:trHeight w:val="162"/>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1,442</w:t>
            </w:r>
          </w:p>
        </w:tc>
        <w:tc>
          <w:tcPr>
            <w:tcW w:w="2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30"/>
        </w:trPr>
        <w:tc>
          <w:tcPr>
            <w:tcW w:w="334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Tax withholding on net share settlement of restricted stock</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(542 )</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(7,729 )</w:t>
            </w:r>
          </w:p>
        </w:tc>
        <w:tc>
          <w:tcPr>
            <w:tcW w:w="120" w:type="dxa"/>
            <w:vAlign w:val="bottom"/>
          </w:tcPr>
          <w:p>
            <w:pPr>
              <w:spacing w:after="0"/>
              <w:rPr>
                <w:sz w:val="14"/>
                <w:szCs w:val="14"/>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(7,729 )</w:t>
            </w:r>
          </w:p>
        </w:tc>
      </w:tr>
      <w:tr>
        <w:trPr>
          <w:trHeight w:val="163"/>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8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(21,460 )</w:t>
            </w:r>
          </w:p>
        </w:tc>
        <w:tc>
          <w:tcPr>
            <w:tcW w:w="1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(21,460 )</w:t>
            </w:r>
          </w:p>
        </w:tc>
      </w:tr>
      <w:tr>
        <w:trPr>
          <w:trHeight w:val="162"/>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net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14"/>
                <w:szCs w:val="14"/>
                <w:color w:val="auto"/>
              </w:rPr>
            </w:pPr>
          </w:p>
        </w:tc>
      </w:tr>
      <w:tr>
        <w:trPr>
          <w:trHeight w:val="270"/>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March 31, 2024</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121,609</w:t>
            </w:r>
          </w:p>
        </w:tc>
        <w:tc>
          <w:tcPr>
            <w:tcW w:w="24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674,313</w:t>
            </w: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(114 )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(384,990 )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289,210</w:t>
            </w:r>
          </w:p>
        </w:tc>
        <w:tc>
          <w:tcPr>
            <w:tcW w:w="100" w:type="dxa"/>
            <w:vAlign w:val="bottom"/>
            <w:shd w:val="clear" w:color="auto" w:fill="CFF0FC"/>
          </w:tcPr>
          <w:p>
            <w:pPr>
              <w:spacing w:after="0"/>
              <w:rPr>
                <w:sz w:val="23"/>
                <w:szCs w:val="23"/>
                <w:color w:val="auto"/>
              </w:rPr>
            </w:pPr>
          </w:p>
        </w:tc>
      </w:tr>
      <w:tr>
        <w:trPr>
          <w:trHeight w:val="20"/>
        </w:trPr>
        <w:tc>
          <w:tcPr>
            <w:tcW w:w="33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2625090</wp:posOffset>
            </wp:positionH>
            <wp:positionV relativeFrom="paragraph">
              <wp:posOffset>-24765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2625090</wp:posOffset>
            </wp:positionH>
            <wp:positionV relativeFrom="paragraph">
              <wp:posOffset>-7620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3301365</wp:posOffset>
            </wp:positionH>
            <wp:positionV relativeFrom="paragraph">
              <wp:posOffset>-24765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3301365</wp:posOffset>
            </wp:positionH>
            <wp:positionV relativeFrom="paragraph">
              <wp:posOffset>-7620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37"/>
        </w:trPr>
        <w:tc>
          <w:tcPr>
            <w:tcW w:w="3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2180" w:type="dxa"/>
            <w:vAlign w:val="bottom"/>
            <w:gridSpan w:val="4"/>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w w:val="98"/>
              </w:rPr>
              <w:t>Class A and Class B common stock</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5"/>
        </w:trPr>
        <w:tc>
          <w:tcPr>
            <w:tcW w:w="3320" w:type="dxa"/>
            <w:vAlign w:val="bottom"/>
          </w:tcPr>
          <w:p>
            <w:pPr>
              <w:spacing w:after="0"/>
              <w:rPr>
                <w:sz w:val="13"/>
                <w:szCs w:val="13"/>
                <w:color w:val="auto"/>
              </w:rPr>
            </w:pPr>
          </w:p>
        </w:tc>
        <w:tc>
          <w:tcPr>
            <w:tcW w:w="2180" w:type="dxa"/>
            <w:vAlign w:val="bottom"/>
            <w:tcBorders>
              <w:bottom w:val="single" w:sz="8" w:color="auto"/>
            </w:tcBorders>
            <w:gridSpan w:val="4"/>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3"/>
                <w:szCs w:val="13"/>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55"/>
        </w:trPr>
        <w:tc>
          <w:tcPr>
            <w:tcW w:w="3320" w:type="dxa"/>
            <w:vAlign w:val="bottom"/>
          </w:tcPr>
          <w:p>
            <w:pPr>
              <w:spacing w:after="0"/>
              <w:rPr>
                <w:sz w:val="13"/>
                <w:szCs w:val="13"/>
                <w:color w:val="auto"/>
              </w:rPr>
            </w:pPr>
          </w:p>
        </w:tc>
        <w:tc>
          <w:tcPr>
            <w:tcW w:w="11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88"/>
              </w:rPr>
              <w:t>loss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December 31, 2022</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114,199</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568,889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(754 )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(273,167 )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294,969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20,409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554</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Vesting of early exercised stock options</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875</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Repurchase of unvested stock options</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(46 )</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(26,315 )</w:t>
            </w: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(26,315 )</w:t>
            </w: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net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March 31, 2023</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115,582</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591,183</w:t>
            </w:r>
          </w:p>
        </w:tc>
        <w:tc>
          <w:tcPr>
            <w:tcW w:w="24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(482 )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(299,482 )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291,220</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-24765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-7620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-24765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-7620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40" w:type="dxa"/>
            <w:vAlign w:val="bottom"/>
            <w:gridSpan w:val="5"/>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50"/>
        </w:trPr>
        <w:tc>
          <w:tcPr>
            <w:tcW w:w="76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(21,460 )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(26,315 )</w:t>
            </w: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38"/>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60" w:type="dxa"/>
            <w:vAlign w:val="bottom"/>
          </w:tcPr>
          <w:p>
            <w:pPr>
              <w:spacing w:after="0"/>
              <w:rPr>
                <w:sz w:val="20"/>
                <w:szCs w:val="20"/>
                <w:color w:val="auto"/>
              </w:rPr>
            </w:pPr>
          </w:p>
        </w:tc>
      </w:tr>
      <w:tr>
        <w:trPr>
          <w:trHeight w:val="247"/>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21,064</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19,957</w:t>
            </w:r>
          </w:p>
        </w:tc>
        <w:tc>
          <w:tcPr>
            <w:tcW w:w="260" w:type="dxa"/>
            <w:vAlign w:val="bottom"/>
            <w:shd w:val="clear" w:color="auto" w:fill="CFF0FC"/>
          </w:tcPr>
          <w:p>
            <w:pPr>
              <w:spacing w:after="0"/>
              <w:rPr>
                <w:sz w:val="21"/>
                <w:szCs w:val="21"/>
                <w:color w:val="auto"/>
              </w:rPr>
            </w:pPr>
          </w:p>
        </w:tc>
      </w:tr>
      <w:tr>
        <w:trPr>
          <w:trHeight w:val="238"/>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(239 )</w:t>
            </w:r>
          </w:p>
        </w:tc>
        <w:tc>
          <w:tcPr>
            <w:tcW w:w="340" w:type="dxa"/>
            <w:vAlign w:val="bottom"/>
          </w:tcPr>
          <w:p>
            <w:pPr>
              <w:spacing w:after="0"/>
              <w:rPr>
                <w:sz w:val="20"/>
                <w:szCs w:val="20"/>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(245 )</w:t>
            </w:r>
          </w:p>
        </w:tc>
      </w:tr>
      <w:tr>
        <w:trPr>
          <w:trHeight w:val="247"/>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Non-cash operating lease costs</w:t>
            </w: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60" w:type="dxa"/>
            <w:vAlign w:val="bottom"/>
            <w:shd w:val="clear" w:color="auto" w:fill="CFF0FC"/>
          </w:tcPr>
          <w:p>
            <w:pPr>
              <w:spacing w:after="0"/>
              <w:rPr>
                <w:sz w:val="21"/>
                <w:szCs w:val="21"/>
                <w:color w:val="auto"/>
              </w:rPr>
            </w:pPr>
          </w:p>
        </w:tc>
      </w:tr>
      <w:tr>
        <w:trPr>
          <w:trHeight w:val="238"/>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7"/>
        </w:trPr>
        <w:tc>
          <w:tcPr>
            <w:tcW w:w="7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(6,784 )</w:t>
            </w:r>
          </w:p>
        </w:tc>
        <w:tc>
          <w:tcPr>
            <w:tcW w:w="3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(8,145 )</w:t>
            </w:r>
          </w:p>
        </w:tc>
      </w:tr>
      <w:tr>
        <w:trPr>
          <w:trHeight w:val="238"/>
        </w:trPr>
        <w:tc>
          <w:tcPr>
            <w:tcW w:w="7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(2,208 )</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260" w:type="dxa"/>
            <w:vAlign w:val="bottom"/>
          </w:tcPr>
          <w:p>
            <w:pPr>
              <w:spacing w:after="0"/>
              <w:rPr>
                <w:sz w:val="20"/>
                <w:szCs w:val="20"/>
                <w:color w:val="auto"/>
              </w:rPr>
            </w:pPr>
          </w:p>
        </w:tc>
      </w:tr>
      <w:tr>
        <w:trPr>
          <w:trHeight w:val="247"/>
        </w:trPr>
        <w:tc>
          <w:tcPr>
            <w:tcW w:w="7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Deferred commissions</w:t>
            </w: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60" w:type="dxa"/>
            <w:vAlign w:val="bottom"/>
            <w:shd w:val="clear" w:color="auto" w:fill="CFF0FC"/>
          </w:tcPr>
          <w:p>
            <w:pPr>
              <w:spacing w:after="0"/>
              <w:rPr>
                <w:sz w:val="21"/>
                <w:szCs w:val="21"/>
                <w:color w:val="auto"/>
              </w:rPr>
            </w:pPr>
          </w:p>
        </w:tc>
      </w:tr>
      <w:tr>
        <w:trPr>
          <w:trHeight w:val="238"/>
        </w:trPr>
        <w:tc>
          <w:tcPr>
            <w:tcW w:w="7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(2,909 )</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260" w:type="dxa"/>
            <w:vAlign w:val="bottom"/>
          </w:tcPr>
          <w:p>
            <w:pPr>
              <w:spacing w:after="0"/>
              <w:rPr>
                <w:sz w:val="20"/>
                <w:szCs w:val="20"/>
                <w:color w:val="auto"/>
              </w:rPr>
            </w:pPr>
          </w:p>
        </w:tc>
      </w:tr>
      <w:tr>
        <w:trPr>
          <w:trHeight w:val="247"/>
        </w:trPr>
        <w:tc>
          <w:tcPr>
            <w:tcW w:w="7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11,347</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260" w:type="dxa"/>
            <w:vAlign w:val="bottom"/>
            <w:shd w:val="clear" w:color="auto" w:fill="CFF0FC"/>
          </w:tcPr>
          <w:p>
            <w:pPr>
              <w:spacing w:after="0"/>
              <w:rPr>
                <w:sz w:val="21"/>
                <w:szCs w:val="21"/>
                <w:color w:val="auto"/>
              </w:rPr>
            </w:pPr>
          </w:p>
        </w:tc>
      </w:tr>
      <w:tr>
        <w:trPr>
          <w:trHeight w:val="238"/>
        </w:trPr>
        <w:tc>
          <w:tcPr>
            <w:tcW w:w="7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(507 )</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60" w:type="dxa"/>
            <w:vAlign w:val="bottom"/>
          </w:tcPr>
          <w:p>
            <w:pPr>
              <w:spacing w:after="0"/>
              <w:rPr>
                <w:sz w:val="20"/>
                <w:szCs w:val="20"/>
                <w:color w:val="auto"/>
              </w:rPr>
            </w:pPr>
          </w:p>
        </w:tc>
      </w:tr>
      <w:tr>
        <w:trPr>
          <w:trHeight w:val="247"/>
        </w:trPr>
        <w:tc>
          <w:tcPr>
            <w:tcW w:w="7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(645 )</w:t>
            </w:r>
          </w:p>
        </w:tc>
      </w:tr>
      <w:tr>
        <w:trPr>
          <w:trHeight w:val="238"/>
        </w:trPr>
        <w:tc>
          <w:tcPr>
            <w:tcW w:w="7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(1,114 )</w:t>
            </w:r>
          </w:p>
        </w:tc>
        <w:tc>
          <w:tcPr>
            <w:tcW w:w="340" w:type="dxa"/>
            <w:vAlign w:val="bottom"/>
          </w:tcPr>
          <w:p>
            <w:pPr>
              <w:spacing w:after="0"/>
              <w:rPr>
                <w:sz w:val="20"/>
                <w:szCs w:val="20"/>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(704 )</w:t>
            </w:r>
          </w:p>
        </w:tc>
      </w:tr>
      <w:tr>
        <w:trPr>
          <w:trHeight w:val="20"/>
        </w:trPr>
        <w:tc>
          <w:tcPr>
            <w:tcW w:w="7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6"/>
        </w:trPr>
        <w:tc>
          <w:tcPr>
            <w:tcW w:w="76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(48 )</w:t>
            </w:r>
          </w:p>
        </w:tc>
        <w:tc>
          <w:tcPr>
            <w:tcW w:w="3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(5,061 )</w:t>
            </w:r>
          </w:p>
        </w:tc>
      </w:tr>
      <w:tr>
        <w:trPr>
          <w:trHeight w:val="236"/>
        </w:trPr>
        <w:tc>
          <w:tcPr>
            <w:tcW w:w="7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received from maturities of marketable securities</w:t>
            </w: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42,500</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4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(18,352 )</w:t>
            </w:r>
          </w:p>
        </w:tc>
        <w:tc>
          <w:tcPr>
            <w:tcW w:w="340" w:type="dxa"/>
            <w:vAlign w:val="bottom"/>
          </w:tcPr>
          <w:p>
            <w:pPr>
              <w:spacing w:after="0"/>
              <w:rPr>
                <w:sz w:val="20"/>
                <w:szCs w:val="20"/>
                <w:color w:val="auto"/>
              </w:rPr>
            </w:pPr>
          </w:p>
        </w:tc>
        <w:tc>
          <w:tcPr>
            <w:tcW w:w="14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(357 )</w:t>
            </w:r>
          </w:p>
        </w:tc>
        <w:tc>
          <w:tcPr>
            <w:tcW w:w="3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(329 )</w:t>
            </w: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Capitalization of internal-use software costs</w:t>
            </w:r>
          </w:p>
        </w:tc>
        <w:tc>
          <w:tcPr>
            <w:tcW w:w="34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(733 )</w:t>
            </w:r>
          </w:p>
        </w:tc>
        <w:tc>
          <w:tcPr>
            <w:tcW w:w="340" w:type="dxa"/>
            <w:vAlign w:val="bottom"/>
          </w:tcPr>
          <w:p>
            <w:pPr>
              <w:spacing w:after="0"/>
              <w:rPr>
                <w:sz w:val="20"/>
                <w:szCs w:val="20"/>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(448 )</w:t>
            </w:r>
          </w:p>
        </w:tc>
      </w:tr>
      <w:tr>
        <w:trPr>
          <w:trHeight w:val="236"/>
        </w:trPr>
        <w:tc>
          <w:tcPr>
            <w:tcW w:w="766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23,058</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60" w:type="dxa"/>
            <w:vAlign w:val="bottom"/>
            <w:tcBorders>
              <w:top w:val="single" w:sz="8" w:color="CFF0FC"/>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260" w:type="dxa"/>
            <w:vAlign w:val="bottom"/>
            <w:shd w:val="clear" w:color="auto" w:fill="CFF0FC"/>
          </w:tcPr>
          <w:p>
            <w:pPr>
              <w:spacing w:after="0"/>
              <w:rPr>
                <w:sz w:val="21"/>
                <w:szCs w:val="21"/>
                <w:color w:val="auto"/>
              </w:rPr>
            </w:pPr>
          </w:p>
        </w:tc>
      </w:tr>
      <w:tr>
        <w:trPr>
          <w:trHeight w:val="211"/>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received for tax withholding obligations on equity</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41"/>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award settlements</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260" w:type="dxa"/>
            <w:vAlign w:val="bottom"/>
          </w:tcPr>
          <w:p>
            <w:pPr>
              <w:spacing w:after="0"/>
              <w:rPr>
                <w:sz w:val="20"/>
                <w:szCs w:val="20"/>
                <w:color w:val="auto"/>
              </w:rPr>
            </w:pPr>
          </w:p>
        </w:tc>
      </w:tr>
      <w:tr>
        <w:trPr>
          <w:trHeight w:val="249"/>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tax withholding obligations on equity award settlements</w:t>
            </w:r>
          </w:p>
        </w:tc>
        <w:tc>
          <w:tcPr>
            <w:tcW w:w="3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(9,133 )</w:t>
            </w:r>
          </w:p>
        </w:tc>
        <w:tc>
          <w:tcPr>
            <w:tcW w:w="3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(5,955 )</w:t>
            </w: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of unvested stock options</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(648 )</w:t>
            </w:r>
          </w:p>
        </w:tc>
      </w:tr>
      <w:tr>
        <w:trPr>
          <w:trHeight w:val="20"/>
        </w:trPr>
        <w:tc>
          <w:tcPr>
            <w:tcW w:w="7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6"/>
        </w:trPr>
        <w:tc>
          <w:tcPr>
            <w:tcW w:w="76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(5,793 )</w:t>
            </w: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260" w:type="dxa"/>
            <w:vAlign w:val="bottom"/>
            <w:shd w:val="clear" w:color="auto" w:fill="CFF0FC"/>
          </w:tcPr>
          <w:p>
            <w:pPr>
              <w:spacing w:after="0"/>
              <w:rPr>
                <w:sz w:val="20"/>
                <w:szCs w:val="20"/>
                <w:color w:val="auto"/>
              </w:rPr>
            </w:pPr>
          </w:p>
        </w:tc>
      </w:tr>
      <w:tr>
        <w:trPr>
          <w:trHeight w:val="209"/>
        </w:trPr>
        <w:tc>
          <w:tcPr>
            <w:tcW w:w="7660" w:type="dxa"/>
            <w:vAlign w:val="bottom"/>
            <w:tcBorders>
              <w:top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Net increase (decrease) in cash, cash equivalents, and</w:t>
            </w: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r>
      <w:tr>
        <w:trPr>
          <w:trHeight w:val="241"/>
        </w:trPr>
        <w:tc>
          <w:tcPr>
            <w:tcW w:w="76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17,217</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(4,429 )</w:t>
            </w:r>
          </w:p>
        </w:tc>
      </w:tr>
      <w:tr>
        <w:trPr>
          <w:trHeight w:val="245"/>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249,360</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219,349</w:t>
            </w:r>
          </w:p>
        </w:tc>
        <w:tc>
          <w:tcPr>
            <w:tcW w:w="260" w:type="dxa"/>
            <w:vAlign w:val="bottom"/>
            <w:tcBorders>
              <w:bottom w:val="single" w:sz="8" w:color="CFF0FC"/>
            </w:tcBorders>
            <w:shd w:val="clear" w:color="auto" w:fill="CFF0FC"/>
          </w:tcPr>
          <w:p>
            <w:pPr>
              <w:spacing w:after="0"/>
              <w:rPr>
                <w:sz w:val="21"/>
                <w:szCs w:val="21"/>
                <w:color w:val="auto"/>
              </w:rPr>
            </w:pPr>
          </w:p>
        </w:tc>
      </w:tr>
      <w:tr>
        <w:trPr>
          <w:trHeight w:val="23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266,577</w:t>
            </w:r>
          </w:p>
        </w:tc>
        <w:tc>
          <w:tcPr>
            <w:tcW w:w="26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214,920</w:t>
            </w:r>
          </w:p>
        </w:tc>
        <w:tc>
          <w:tcPr>
            <w:tcW w:w="26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 included in liabilities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6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 capitalized as internal-use software costs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6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-3432810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-3432810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-2666365</wp:posOffset>
            </wp:positionV>
            <wp:extent cx="93980" cy="196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6953250</wp:posOffset>
            </wp:positionH>
            <wp:positionV relativeFrom="paragraph">
              <wp:posOffset>-2666365</wp:posOffset>
            </wp:positionV>
            <wp:extent cx="93980" cy="1968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-1412240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-1412240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-958215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-958215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Business and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Amplitude, Inc. (the “Company”) was incorporated in the state of Delaware in 2011 and is headquartered in San Francisco, California. The Company provides a Digital Analytics Platform that helps companies analyze their customer behavior within digital products. The Company delivers its application over the Internet as a subscription service using a software-as-a-service (“SaaS”) model. The Company’s arrangements with customers do not provide the customer with the right to take possession of the software supporting the cloud-based application service at any time. The Company also offers customer support related to initial implementation setup, ongoing support services, and application training.</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The Company has a single operating and reportable segment. The Company’s chief operating decision maker is its Chief Executive Officer, who reviews financial information presented on a consolidated basis for purposes of making operating decisions, assessing financial performance, and allocating resources. Long-lived assets outside of the United States are immaterial. For information regarding the Company’s revenue by geographic area, see Note 2 below.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accordance with U.S. generally accepted accounting principles (“U.S. GAAP” or “GAAP”) and include the accounts of Amplitude, Inc. and its wholly owned subsidiaries. All intercompany balances and transactions have been eliminated in consolidation. The reporting currency of the Company is the United States dollar. The functional currency of the Company’s foreign subsidiaries is also the United States dollar.</w:t>
      </w:r>
    </w:p>
    <w:p>
      <w:pPr>
        <w:spacing w:after="0" w:line="18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balance sheet as of December 31, 2023 included herein was derived from the audited financial statements as of that date, but does not include all disclosures, including certain notes required by U.S. GAAP on an annual reporting basis. In management’s opinion, the unaudited condensed consolidated financial statements reflect all normal recurring adjustments necessary to state fairly the balance sheet, statements of operations and comprehensive loss, statements of stockholders’ equity, and statements of cash flows for the interim periods, but are not necessarily indicative of the results of operations to be anticipated for the full fiscal year or any future period.</w:t>
      </w:r>
    </w:p>
    <w:p>
      <w:pPr>
        <w:spacing w:after="0" w:line="182" w:lineRule="exact"/>
        <w:rPr>
          <w:sz w:val="20"/>
          <w:szCs w:val="20"/>
          <w:color w:val="auto"/>
        </w:rPr>
      </w:pPr>
    </w:p>
    <w:p>
      <w:pPr>
        <w:ind w:right="500" w:firstLine="509"/>
        <w:spacing w:after="0" w:line="281"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audited consolidated financial statements and notes included in the Company’s Annual Report on Form 10-K for the year ended December 31, 2023 (the “2023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condensed consolidated financial statements and accompanying notes. These estimates are based on information available as of the date of the financial statements and may involve subjective or significant judgment by the Company; therefore, actual results could differ from the Company’s estimates. Items subject to such estimates and assumptions include, but are not limited to the:</w:t>
      </w:r>
    </w:p>
    <w:p>
      <w:pPr>
        <w:spacing w:after="0" w:line="74" w:lineRule="exact"/>
        <w:rPr>
          <w:sz w:val="20"/>
          <w:szCs w:val="20"/>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period of benefit for deferred commissions;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useful lives of long-lived assets;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goodwill and intangible assets;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measurement, and valuation of deferred tax assets and income tax uncertainties;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borrowing rates used for operating leases.</w:t>
      </w: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 and Significant Customers</w:t>
      </w:r>
    </w:p>
    <w:p>
      <w:pPr>
        <w:spacing w:after="0" w:line="121"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Financial instruments that subject the Company to concentrations of credit risk consist primarily of cash and cash equivalents, restricted cash, marketable securities, and accounts receivable. Although the Company deposits its cash with high-quality, credit-rated financial institutions, the deposits, at times, may exceed federally insured limits. The Company has not experienced any losses on its deposits of cash and cash equivalents.</w:t>
      </w:r>
    </w:p>
    <w:p>
      <w:pPr>
        <w:spacing w:after="0" w:line="177" w:lineRule="exact"/>
        <w:rPr>
          <w:sz w:val="20"/>
          <w:szCs w:val="20"/>
          <w:color w:val="auto"/>
        </w:rPr>
      </w:pPr>
    </w:p>
    <w:p>
      <w:pPr>
        <w:jc w:val="both"/>
        <w:ind w:right="180" w:firstLine="509"/>
        <w:spacing w:after="0" w:line="265" w:lineRule="auto"/>
        <w:rPr>
          <w:sz w:val="20"/>
          <w:szCs w:val="20"/>
          <w:color w:val="auto"/>
        </w:rPr>
      </w:pPr>
      <w:r>
        <w:rPr>
          <w:rFonts w:ascii="Times New Roman" w:cs="Times New Roman" w:eastAsia="Times New Roman" w:hAnsi="Times New Roman"/>
          <w:sz w:val="18"/>
          <w:szCs w:val="18"/>
          <w:color w:val="auto"/>
        </w:rPr>
        <w:t>No customer accounted for 10% or more of total revenue for the three months ended March 31, 2024 and 2023. As of the quarter ended March 31, 2024, no customer represented 10% or more of accounts receivable. As of the year ended December 31, 2023, one customer represented 10% of accounts receivable.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jc w:val="both"/>
        <w:ind w:right="220" w:firstLine="509"/>
        <w:spacing w:after="0" w:line="312" w:lineRule="auto"/>
        <w:rPr>
          <w:sz w:val="20"/>
          <w:szCs w:val="20"/>
          <w:color w:val="auto"/>
        </w:rPr>
      </w:pPr>
      <w:r>
        <w:rPr>
          <w:rFonts w:ascii="Times New Roman" w:cs="Times New Roman" w:eastAsia="Times New Roman" w:hAnsi="Times New Roman"/>
          <w:sz w:val="17"/>
          <w:szCs w:val="17"/>
          <w:color w:val="auto"/>
        </w:rPr>
        <w:t>The Company's significant accounting policies are described in the 2023 Form 10-K. There have been no significant changes to these policies that have had a material impact on the Company’s condensed consolidated financial statements and related notes for the three months ended March 31, 2024.</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right="80" w:firstLine="509"/>
        <w:spacing w:after="0" w:line="276" w:lineRule="auto"/>
        <w:rPr>
          <w:sz w:val="20"/>
          <w:szCs w:val="20"/>
          <w:color w:val="auto"/>
        </w:rPr>
      </w:pPr>
      <w:r>
        <w:rPr>
          <w:rFonts w:ascii="Times New Roman" w:cs="Times New Roman" w:eastAsia="Times New Roman" w:hAnsi="Times New Roman"/>
          <w:sz w:val="17"/>
          <w:szCs w:val="17"/>
          <w:color w:val="auto"/>
        </w:rPr>
        <w:t>Income Taxes: In December 2023, the Financial Accounting Standards Board issued Accounting Standards Update (“ASU”) No. 2023-09, Income Taxes (Topic 740): Improvements to Income Tax Disclosures, which requires that an entity, on an annual basis, disclose additional income tax information, primarily related to the rate reconciliation and income taxes paid. The amendment in the ASU is intended to enhance the transparency and decision usefulness of income tax disclosures. The amendments in this ASU are effective for annual periods beginning after December 15, 2024. The Company is currently evaluating the impact of the new standard on its consolidated financial statements which is expected to result in enhanced disclosures.</w:t>
      </w:r>
    </w:p>
    <w:p>
      <w:pPr>
        <w:spacing w:after="0" w:line="274"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Remaining Performance Obligations</w:t>
      </w:r>
    </w:p>
    <w:p>
      <w:pPr>
        <w:spacing w:after="0" w:line="121"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The amount of revenue recognized in the three months ended March 31, 2024 that was included in deferred revenue as of December 31, 2023 was $55.1 million.</w:t>
      </w:r>
    </w:p>
    <w:p>
      <w:pPr>
        <w:spacing w:after="0" w:line="163"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As of March 31, 2024 and December 31, 2023, unrecognized transaction price related to remaining performance obligations was $250.6 million and $239.4 million, respectively. The Company’s remaining performance obligations as of March 31, 2024 and December 31, 2023 are expected to be recognized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16"/>
        </w:trPr>
        <w:tc>
          <w:tcPr>
            <w:tcW w:w="7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7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70"/>
        </w:trPr>
        <w:tc>
          <w:tcPr>
            <w:tcW w:w="7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than or equal to 12 months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197,087</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188,456</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than 12 months</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53,531</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50,962</w:t>
            </w:r>
          </w:p>
        </w:tc>
        <w:tc>
          <w:tcPr>
            <w:tcW w:w="100" w:type="dxa"/>
            <w:vAlign w:val="bottom"/>
          </w:tcPr>
          <w:p>
            <w:pPr>
              <w:spacing w:after="0"/>
              <w:rPr>
                <w:sz w:val="21"/>
                <w:szCs w:val="21"/>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remaining performance obligations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250,618</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239,418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jc w:val="both"/>
        <w:ind w:right="36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shows the Company’s disaggregation of revenue by geographic areas, as determined based on the address of the Company's customers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84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4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32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48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43,243</w:t>
            </w:r>
          </w:p>
        </w:tc>
        <w:tc>
          <w:tcPr>
            <w:tcW w:w="128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40,435</w:t>
            </w:r>
          </w:p>
        </w:tc>
        <w:tc>
          <w:tcPr>
            <w:tcW w:w="100" w:type="dxa"/>
            <w:vAlign w:val="bottom"/>
            <w:shd w:val="clear" w:color="auto" w:fill="CFF0FC"/>
          </w:tcPr>
          <w:p>
            <w:pPr>
              <w:spacing w:after="0"/>
              <w:rPr>
                <w:sz w:val="21"/>
                <w:szCs w:val="21"/>
                <w:color w:val="auto"/>
              </w:rPr>
            </w:pPr>
          </w:p>
        </w:tc>
      </w:tr>
      <w:tr>
        <w:trPr>
          <w:trHeight w:val="24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448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29,381</w:t>
            </w:r>
          </w:p>
        </w:tc>
        <w:tc>
          <w:tcPr>
            <w:tcW w:w="26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26,042</w:t>
            </w:r>
          </w:p>
        </w:tc>
        <w:tc>
          <w:tcPr>
            <w:tcW w:w="100" w:type="dxa"/>
            <w:vAlign w:val="bottom"/>
          </w:tcPr>
          <w:p>
            <w:pPr>
              <w:spacing w:after="0"/>
              <w:rPr>
                <w:sz w:val="21"/>
                <w:szCs w:val="21"/>
                <w:color w:val="auto"/>
              </w:rPr>
            </w:pPr>
          </w:p>
        </w:tc>
      </w:tr>
      <w:tr>
        <w:trPr>
          <w:trHeight w:val="276"/>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548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72,624</w:t>
            </w:r>
          </w:p>
        </w:tc>
        <w:tc>
          <w:tcPr>
            <w:tcW w:w="128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66,477</w:t>
            </w:r>
          </w:p>
        </w:tc>
        <w:tc>
          <w:tcPr>
            <w:tcW w:w="100" w:type="dxa"/>
            <w:vAlign w:val="bottom"/>
            <w:shd w:val="clear" w:color="auto" w:fill="CFF0FC"/>
          </w:tcPr>
          <w:p>
            <w:pPr>
              <w:spacing w:after="0"/>
              <w:rPr>
                <w:sz w:val="24"/>
                <w:szCs w:val="24"/>
                <w:color w:val="auto"/>
              </w:rPr>
            </w:pPr>
          </w:p>
        </w:tc>
      </w:tr>
      <w:tr>
        <w:trPr>
          <w:trHeight w:val="520"/>
        </w:trPr>
        <w:tc>
          <w:tcPr>
            <w:tcW w:w="3260" w:type="dxa"/>
            <w:vAlign w:val="bottom"/>
            <w:tcBorders>
              <w:top w:val="single" w:sz="8" w:color="CFF0FC"/>
            </w:tcBorders>
          </w:tcPr>
          <w:p>
            <w:pPr>
              <w:spacing w:after="0"/>
              <w:rPr>
                <w:sz w:val="24"/>
                <w:szCs w:val="24"/>
                <w:color w:val="auto"/>
              </w:rPr>
            </w:pPr>
          </w:p>
        </w:tc>
        <w:tc>
          <w:tcPr>
            <w:tcW w:w="4480" w:type="dxa"/>
            <w:vAlign w:val="bottom"/>
            <w:tcBorders>
              <w:top w:val="single" w:sz="8" w:color="CFF0FC"/>
            </w:tcBorders>
          </w:tcPr>
          <w:p>
            <w:pPr>
              <w:jc w:val="right"/>
              <w:ind w:right="1930"/>
              <w:spacing w:after="0"/>
              <w:rPr>
                <w:sz w:val="20"/>
                <w:szCs w:val="20"/>
                <w:color w:val="auto"/>
              </w:rPr>
            </w:pPr>
            <w:r>
              <w:rPr>
                <w:rFonts w:ascii="Times New Roman" w:cs="Times New Roman" w:eastAsia="Times New Roman" w:hAnsi="Times New Roman"/>
                <w:sz w:val="18"/>
                <w:szCs w:val="18"/>
                <w:color w:val="auto"/>
              </w:rPr>
              <w:t>12</w:t>
            </w:r>
          </w:p>
        </w:tc>
        <w:tc>
          <w:tcPr>
            <w:tcW w:w="10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2"/>
        </w:trPr>
        <w:tc>
          <w:tcPr>
            <w:tcW w:w="32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-864235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-847090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-847090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Commissions</w:t>
      </w:r>
    </w:p>
    <w:p>
      <w:pPr>
        <w:spacing w:after="0" w:line="121" w:lineRule="exact"/>
        <w:rPr>
          <w:sz w:val="20"/>
          <w:szCs w:val="20"/>
          <w:color w:val="auto"/>
        </w:rPr>
      </w:pPr>
    </w:p>
    <w:p>
      <w:pPr>
        <w:ind w:right="260" w:firstLine="509"/>
        <w:spacing w:after="0" w:line="265" w:lineRule="auto"/>
        <w:rPr>
          <w:sz w:val="20"/>
          <w:szCs w:val="20"/>
          <w:color w:val="auto"/>
        </w:rPr>
      </w:pPr>
      <w:r>
        <w:rPr>
          <w:rFonts w:ascii="Times New Roman" w:cs="Times New Roman" w:eastAsia="Times New Roman" w:hAnsi="Times New Roman"/>
          <w:sz w:val="18"/>
          <w:szCs w:val="18"/>
          <w:color w:val="auto"/>
        </w:rPr>
        <w:t>Commissions paid upon the initial acquisition of a contract are deferred and then amortized on a straight-line basis over a period of benefit, determined to be five years. The following table represents a roll forward of the Company’s deferred commissions for the three months ended March 31, 2024 and 2023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284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4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74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0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38,386</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36,717</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deferred commissions</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deferred commissions</w:t>
            </w:r>
          </w:p>
        </w:tc>
        <w:tc>
          <w:tcPr>
            <w:tcW w:w="100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(3,352 )</w:t>
            </w:r>
          </w:p>
        </w:tc>
        <w:tc>
          <w:tcPr>
            <w:tcW w:w="10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(2,779 )</w:t>
            </w:r>
          </w:p>
        </w:tc>
      </w:tr>
      <w:tr>
        <w:trPr>
          <w:trHeight w:val="236"/>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38,261</w:t>
            </w:r>
          </w:p>
        </w:tc>
        <w:tc>
          <w:tcPr>
            <w:tcW w:w="260" w:type="dxa"/>
            <w:vAlign w:val="bottom"/>
            <w:tcBorders>
              <w:top w:val="single" w:sz="8" w:color="CFF0FC"/>
            </w:tcBorders>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36,404</w:t>
            </w:r>
          </w:p>
        </w:tc>
        <w:tc>
          <w:tcPr>
            <w:tcW w:w="100" w:type="dxa"/>
            <w:vAlign w:val="bottom"/>
            <w:tcBorders>
              <w:top w:val="single" w:sz="8" w:color="CFF0FC"/>
            </w:tcBorders>
          </w:tcPr>
          <w:p>
            <w:pPr>
              <w:spacing w:after="0"/>
              <w:rPr>
                <w:sz w:val="20"/>
                <w:szCs w:val="20"/>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commissions, current portion</w:t>
            </w: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13,190</w:t>
            </w: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11,275</w:t>
            </w:r>
          </w:p>
        </w:tc>
        <w:tc>
          <w:tcPr>
            <w:tcW w:w="100" w:type="dxa"/>
            <w:vAlign w:val="bottom"/>
            <w:shd w:val="clear" w:color="auto" w:fill="CFF0FC"/>
          </w:tcPr>
          <w:p>
            <w:pPr>
              <w:spacing w:after="0"/>
              <w:rPr>
                <w:sz w:val="20"/>
                <w:szCs w:val="20"/>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commissions, net of current portion</w:t>
            </w:r>
          </w:p>
        </w:tc>
        <w:tc>
          <w:tcPr>
            <w:tcW w:w="10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25,071</w:t>
            </w:r>
          </w:p>
        </w:tc>
        <w:tc>
          <w:tcPr>
            <w:tcW w:w="26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25,129</w:t>
            </w:r>
          </w:p>
        </w:tc>
        <w:tc>
          <w:tcPr>
            <w:tcW w:w="100" w:type="dxa"/>
            <w:vAlign w:val="bottom"/>
          </w:tcPr>
          <w:p>
            <w:pPr>
              <w:spacing w:after="0"/>
              <w:rPr>
                <w:sz w:val="21"/>
                <w:szCs w:val="21"/>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commissions</w:t>
            </w: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38,261</w:t>
            </w:r>
          </w:p>
        </w:tc>
        <w:tc>
          <w:tcPr>
            <w:tcW w:w="26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36,404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-667385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Components</w:t>
      </w:r>
    </w:p>
    <w:p>
      <w:pPr>
        <w:spacing w:after="0" w:line="120"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show the Company’s financial statement details as of March 31, 2024 and December 31, 2023.</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represents the Company's cash, cash equivalents, and restricted cash at each period end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0" w:type="dxa"/>
            <w:vAlign w:val="bottom"/>
          </w:tcPr>
          <w:p>
            <w:pPr>
              <w:spacing w:after="0"/>
              <w:rPr>
                <w:sz w:val="20"/>
                <w:szCs w:val="20"/>
                <w:color w:val="auto"/>
              </w:rPr>
            </w:pPr>
          </w:p>
        </w:tc>
      </w:tr>
      <w:tr>
        <w:trPr>
          <w:trHeight w:val="250"/>
        </w:trPr>
        <w:tc>
          <w:tcPr>
            <w:tcW w:w="60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38"/>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265,705</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214,062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248,491</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218,494</w:t>
            </w:r>
          </w:p>
        </w:tc>
        <w:tc>
          <w:tcPr>
            <w:tcW w:w="100" w:type="dxa"/>
            <w:vAlign w:val="bottom"/>
          </w:tcPr>
          <w:p>
            <w:pPr>
              <w:spacing w:after="0"/>
              <w:rPr>
                <w:sz w:val="20"/>
                <w:szCs w:val="20"/>
                <w:color w:val="auto"/>
              </w:rPr>
            </w:pPr>
          </w:p>
        </w:tc>
      </w:tr>
      <w:tr>
        <w:trPr>
          <w:trHeight w:val="247"/>
        </w:trPr>
        <w:tc>
          <w:tcPr>
            <w:tcW w:w="6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266,577</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214,920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249,360</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219,349</w:t>
            </w:r>
          </w:p>
        </w:tc>
        <w:tc>
          <w:tcPr>
            <w:tcW w:w="100" w:type="dxa"/>
            <w:vAlign w:val="bottom"/>
          </w:tcPr>
          <w:p>
            <w:pPr>
              <w:spacing w:after="0"/>
              <w:rPr>
                <w:sz w:val="20"/>
                <w:szCs w:val="20"/>
                <w:color w:val="auto"/>
              </w:rPr>
            </w:pPr>
          </w:p>
        </w:tc>
      </w:tr>
      <w:tr>
        <w:trPr>
          <w:trHeight w:val="20"/>
        </w:trPr>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-187960</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-187960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-187960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04" w:right="339" w:bottom="223" w:gutter="0" w:footer="0" w:header="0"/>
        </w:sect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Prepaid expenses and other current assets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Prepaid hosting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97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 prepaid expense and other 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1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ind w:left="33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13"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40" w:lineRule="exact"/>
        <w:rPr>
          <w:sz w:val="20"/>
          <w:szCs w:val="20"/>
          <w:color w:val="auto"/>
        </w:rPr>
      </w:pPr>
    </w:p>
    <w:p>
      <w:pPr>
        <w:ind w:left="1050" w:hanging="1050"/>
        <w:spacing w:after="0"/>
        <w:tabs>
          <w:tab w:leader="none" w:pos="105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7,031</w:t>
      </w:r>
    </w:p>
    <w:p>
      <w:pPr>
        <w:spacing w:after="0" w:line="47" w:lineRule="exact"/>
        <w:rPr>
          <w:rFonts w:ascii="Times New Roman" w:cs="Times New Roman" w:eastAsia="Times New Roman" w:hAnsi="Times New Roman"/>
          <w:sz w:val="17"/>
          <w:szCs w:val="17"/>
          <w:color w:val="auto"/>
        </w:rPr>
      </w:pPr>
    </w:p>
    <w:p>
      <w:pPr>
        <w:ind w:left="97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11,640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33020</wp:posOffset>
            </wp:positionV>
            <wp:extent cx="9417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41" w:lineRule="exact"/>
        <w:rPr>
          <w:sz w:val="20"/>
          <w:szCs w:val="20"/>
          <w:color w:val="auto"/>
        </w:rPr>
      </w:pPr>
    </w:p>
    <w:p>
      <w:pPr>
        <w:ind w:left="970" w:hanging="970"/>
        <w:spacing w:after="0"/>
        <w:tabs>
          <w:tab w:leader="none" w:pos="97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18,671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91"/>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ind w:left="191"/>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13" w:lineRule="exact"/>
        <w:rPr>
          <w:sz w:val="20"/>
          <w:szCs w:val="20"/>
          <w:color w:val="auto"/>
        </w:rPr>
      </w:pPr>
    </w:p>
    <w:p>
      <w:pPr>
        <w:ind w:left="531"/>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40" w:lineRule="exact"/>
        <w:rPr>
          <w:sz w:val="20"/>
          <w:szCs w:val="20"/>
          <w:color w:val="auto"/>
        </w:rPr>
      </w:pPr>
    </w:p>
    <w:p>
      <w:pPr>
        <w:ind w:left="1031" w:hanging="1031"/>
        <w:spacing w:after="0"/>
        <w:tabs>
          <w:tab w:leader="none" w:pos="1031"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6,074</w:t>
      </w:r>
    </w:p>
    <w:p>
      <w:pPr>
        <w:spacing w:after="0" w:line="47" w:lineRule="exact"/>
        <w:rPr>
          <w:rFonts w:ascii="Times New Roman" w:cs="Times New Roman" w:eastAsia="Times New Roman" w:hAnsi="Times New Roman"/>
          <w:sz w:val="17"/>
          <w:szCs w:val="17"/>
          <w:color w:val="auto"/>
        </w:rPr>
      </w:pPr>
    </w:p>
    <w:p>
      <w:pPr>
        <w:ind w:left="931"/>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26035</wp:posOffset>
            </wp:positionV>
            <wp:extent cx="9245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spacing w:after="0" w:line="29" w:lineRule="exact"/>
        <w:rPr>
          <w:sz w:val="20"/>
          <w:szCs w:val="20"/>
          <w:color w:val="auto"/>
        </w:rPr>
      </w:pPr>
    </w:p>
    <w:p>
      <w:pPr>
        <w:ind w:left="931" w:hanging="931"/>
        <w:spacing w:after="0"/>
        <w:tabs>
          <w:tab w:leader="none" w:pos="93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16,624</w:t>
      </w:r>
    </w:p>
    <w:p>
      <w:pPr>
        <w:spacing w:after="0" w:line="240" w:lineRule="exact"/>
        <w:rPr>
          <w:sz w:val="20"/>
          <w:szCs w:val="20"/>
          <w:color w:val="auto"/>
        </w:rPr>
      </w:pPr>
    </w:p>
    <w:p>
      <w:pPr>
        <w:sectPr>
          <w:pgSz w:w="11900" w:h="16838" w:orient="portrait"/>
          <w:cols w:equalWidth="0" w:num="3">
            <w:col w:w="7190" w:space="720"/>
            <w:col w:w="1450" w:space="329"/>
            <w:col w:w="1551"/>
          </w:cols>
          <w:pgMar w:left="320" w:top="1304" w:right="339" w:bottom="223" w:gutter="0" w:footer="0" w:header="0"/>
          <w:type w:val="continuous"/>
        </w:sectPr>
      </w:pP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tc>
        <w:tc>
          <w:tcPr>
            <w:tcW w:w="2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5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50"/>
        </w:trPr>
        <w:tc>
          <w:tcPr>
            <w:tcW w:w="52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hosting</w:t>
            </w:r>
          </w:p>
        </w:tc>
        <w:tc>
          <w:tcPr>
            <w:tcW w:w="2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commission and bonus</w:t>
            </w:r>
          </w:p>
        </w:tc>
        <w:tc>
          <w:tcPr>
            <w:tcW w:w="2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payroll and employee related taxes</w:t>
            </w:r>
          </w:p>
        </w:tc>
        <w:tc>
          <w:tcPr>
            <w:tcW w:w="2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 tax</w:t>
            </w:r>
          </w:p>
        </w:tc>
        <w:tc>
          <w:tcPr>
            <w:tcW w:w="2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2021 Employee Stock Purchase Plan withholding</w:t>
            </w:r>
          </w:p>
        </w:tc>
        <w:tc>
          <w:tcPr>
            <w:tcW w:w="2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accrued expenses</w:t>
            </w:r>
          </w:p>
        </w:tc>
        <w:tc>
          <w:tcPr>
            <w:tcW w:w="2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26,228</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60" w:type="dxa"/>
            <w:vAlign w:val="bottom"/>
            <w:vMerge w:val="restart"/>
          </w:tcPr>
          <w:p>
            <w:pPr>
              <w:jc w:val="right"/>
              <w:ind w:right="205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2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52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-1026795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-1026795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04" w:right="339" w:bottom="223" w:gutter="0" w:footer="0" w:header="0"/>
          <w:type w:val="continuous"/>
        </w:sectPr>
      </w:pPr>
    </w:p>
    <w:bookmarkStart w:id="13" w:name="page14"/>
    <w:bookmarkEnd w:id="13"/>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34"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summarizes, for financial assets measured at fair value, the respective fair value and classification by level of input within the fair value hierarchy (in thousands):</w:t>
      </w:r>
    </w:p>
    <w:p>
      <w:pPr>
        <w:spacing w:after="0" w:line="172"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b w:val="1"/>
          <w:bCs w:val="1"/>
          <w:color w:val="auto"/>
        </w:rPr>
        <w:t>As of March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7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center"/>
              <w:ind w:right="320"/>
              <w:spacing w:after="0" w:line="14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24"/>
                <w:szCs w:val="24"/>
                <w:b w:val="1"/>
                <w:bCs w:val="1"/>
                <w:color w:val="auto"/>
                <w:vertAlign w:val="superscript"/>
              </w:rPr>
              <w:t>(1)</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232,812</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232,812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740" w:type="dxa"/>
            <w:vAlign w:val="bottom"/>
            <w:shd w:val="clear" w:color="auto" w:fill="CFF0FC"/>
          </w:tcPr>
          <w:p>
            <w:pPr>
              <w:ind w:left="20"/>
              <w:spacing w:after="0" w:line="245" w:lineRule="exact"/>
              <w:rPr>
                <w:sz w:val="20"/>
                <w:szCs w:val="20"/>
                <w:color w:val="auto"/>
              </w:rPr>
            </w:pP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24"/>
                <w:szCs w:val="24"/>
                <w:b w:val="1"/>
                <w:bCs w:val="1"/>
                <w:color w:val="auto"/>
                <w:vertAlign w:val="superscript"/>
              </w:rPr>
              <w:t>(1)</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governmental securities</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governmental securities</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50,555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(113 )</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289,595</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289,482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4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4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tcPr>
          <w:p>
            <w:pPr>
              <w:jc w:val="center"/>
              <w:ind w:right="32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0"/>
                <w:szCs w:val="10"/>
                <w:color w:val="auto"/>
              </w:rPr>
            </w:pPr>
          </w:p>
        </w:tc>
        <w:tc>
          <w:tcPr>
            <w:tcW w:w="1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24"/>
                <w:szCs w:val="24"/>
                <w:b w:val="1"/>
                <w:bCs w:val="1"/>
                <w:color w:val="auto"/>
                <w:vertAlign w:val="superscript"/>
              </w:rPr>
              <w:t>(1)</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211,741</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211,741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governmental securities</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(181 )</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285,831</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285,650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-1823085</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-1805940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-1823085</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-1805940</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-1823085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-1805940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-1823085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-1805940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-1348105</wp:posOffset>
            </wp:positionV>
            <wp:extent cx="102235" cy="2482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2235" cy="2482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-1348105</wp:posOffset>
            </wp:positionV>
            <wp:extent cx="102235" cy="2482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2235" cy="248285"/>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-24765</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-7620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-24765</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-7620</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8559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380" w:right="200" w:hanging="372"/>
        <w:spacing w:after="0" w:line="258" w:lineRule="auto"/>
        <w:tabs>
          <w:tab w:leader="none" w:pos="3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“Cash and cash equivalents” in the Company’s condensed consolidated balance sheets as of March 31, 2024 and December 31, 2023, in addition to cash of $26.7 million and $36.8 million, respectively.</w:t>
      </w:r>
    </w:p>
    <w:p>
      <w:pPr>
        <w:spacing w:after="0" w:line="171"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The Company uses quoted prices in active markets for identical assets to determine the fair value of the Company's Level 1 investments. The fair value of the Company's Level 2 investments is determined using pricing based on quoted market prices or alternative market observable inputs.</w:t>
      </w:r>
    </w:p>
    <w:p>
      <w:pPr>
        <w:spacing w:after="0" w:line="163" w:lineRule="exact"/>
        <w:rPr>
          <w:sz w:val="20"/>
          <w:szCs w:val="20"/>
          <w:color w:val="auto"/>
        </w:rPr>
      </w:pPr>
    </w:p>
    <w:p>
      <w:pPr>
        <w:ind w:right="760" w:firstLine="509"/>
        <w:spacing w:after="0" w:line="281" w:lineRule="auto"/>
        <w:rPr>
          <w:sz w:val="20"/>
          <w:szCs w:val="20"/>
          <w:color w:val="auto"/>
        </w:rPr>
      </w:pPr>
      <w:r>
        <w:rPr>
          <w:rFonts w:ascii="Times New Roman" w:cs="Times New Roman" w:eastAsia="Times New Roman" w:hAnsi="Times New Roman"/>
          <w:sz w:val="18"/>
          <w:szCs w:val="18"/>
          <w:color w:val="auto"/>
        </w:rPr>
        <w:t>The fair value of the Company's available-for-sale securities as of March 31, 2024, by remaining contractual maturities, was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0" w:type="dxa"/>
            <w:vAlign w:val="bottom"/>
          </w:tcPr>
          <w:p>
            <w:pPr>
              <w:spacing w:after="0"/>
              <w:rPr>
                <w:sz w:val="21"/>
                <w:szCs w:val="21"/>
                <w:color w:val="auto"/>
              </w:rPr>
            </w:pPr>
          </w:p>
        </w:tc>
        <w:tc>
          <w:tcPr>
            <w:tcW w:w="9020" w:type="dxa"/>
            <w:vAlign w:val="bottom"/>
          </w:tcPr>
          <w:p>
            <w:pPr>
              <w:spacing w:after="0"/>
              <w:rPr>
                <w:sz w:val="21"/>
                <w:szCs w:val="21"/>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 of March 31, 2024</w:t>
            </w:r>
          </w:p>
        </w:tc>
      </w:tr>
      <w:tr>
        <w:trPr>
          <w:trHeight w:val="243"/>
        </w:trPr>
        <w:tc>
          <w:tcPr>
            <w:tcW w:w="9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6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50,442</w:t>
            </w:r>
          </w:p>
        </w:tc>
        <w:tc>
          <w:tcPr>
            <w:tcW w:w="100" w:type="dxa"/>
            <w:vAlign w:val="bottom"/>
            <w:shd w:val="clear" w:color="auto" w:fill="CFF0FC"/>
          </w:tcPr>
          <w:p>
            <w:pPr>
              <w:spacing w:after="0"/>
              <w:rPr>
                <w:sz w:val="21"/>
                <w:szCs w:val="21"/>
                <w:color w:val="auto"/>
              </w:rPr>
            </w:pPr>
          </w:p>
        </w:tc>
      </w:tr>
      <w:tr>
        <w:trPr>
          <w:trHeight w:val="243"/>
        </w:trPr>
        <w:tc>
          <w:tcPr>
            <w:tcW w:w="9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in greater than one year</w:t>
            </w:r>
          </w:p>
        </w:tc>
        <w:tc>
          <w:tcPr>
            <w:tcW w:w="6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50,442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776"/>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Stockholders’ Equity and Equity Incentive Plans</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-530225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right="40" w:firstLine="509"/>
        <w:spacing w:after="0" w:line="260" w:lineRule="auto"/>
        <w:rPr>
          <w:sz w:val="20"/>
          <w:szCs w:val="20"/>
          <w:color w:val="auto"/>
        </w:rPr>
      </w:pPr>
      <w:r>
        <w:rPr>
          <w:rFonts w:ascii="Times New Roman" w:cs="Times New Roman" w:eastAsia="Times New Roman" w:hAnsi="Times New Roman"/>
          <w:sz w:val="18"/>
          <w:szCs w:val="18"/>
          <w:color w:val="auto"/>
        </w:rPr>
        <w:t>In connection with the direct listing of the Company’s Class A common stock on the Nasdaq Capital Market (the “Direct Listing”) on September 21, 2021, an amended and restated certificate of incorporation of the Company was filed with the Secretary of State of the State of Delaware, which authorized the issuance of 20 million shares of undesignated preferred stock with a par value of $0.00001 per share and rights and preferences, including voting rights, designated from time to time by the Company's board of directors.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two classes of common stock: Class A common stock and Class B common stock. The Company's amended and restated certificate of incorporation authorizes the issuance of 600 million shares of Class A common stock and 600 million shares of Class B common stock. The shares of Class A common stock and Class B common stock are identical, except with respect to voting, conversion, and transfer rights. Each share of Class A common stock is entitled to one vote. Each share of Class B common stock is entitled to five votes. Class A and Class B common stock each have a par value of $0.00001 per share, and are referred to as common stock throughout the notes to the condensed consolidated financial statements, unless otherwise noted. Holders of common stock are entitled to receive any dividends whenever funds are legally available and if declared by the Company's board of directors.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Shares of Class B common stock may be converted to Class A common stock at any time at the option of the stockholder. Shares of Class B common stock will also automatically convert into one share of Class A common stock upon any transfer, except for certain permitted transfers described in the Company's amended and restated certificate of incorporation. In addition, each share of Class B common stock held by the Company's three cofounders (or any of such founder’s affiliates) will convert automatically into one share of Class A common stock on the earlier of: (i) the death or incapacity of such founder or (ii) the date that is six months following the date on which such founder is no longer an employee or director of the Company (unless such founder has rejoined the Company during such six-month period). Each outstanding share of the Company's Class B common stock will also convert automatically into one share of Class A common stock on the date that is six months following the date on which no founder is an employee or director of the Company (unless a founder has rejoined the Company during such six-month period). In addition, any transfer by a founder (or such founder’s affiliates) to one or more of the other founders (or such founders’ affiliates) will not result in the automatic conversion of such shares of Class B common stock to Class A common stock. Once converted into Class A common stock, the Class B common stock may not be reissued.</w:t>
      </w:r>
    </w:p>
    <w:p>
      <w:pPr>
        <w:sectPr>
          <w:pgSz w:w="11900" w:h="16838" w:orient="portrait"/>
          <w:cols w:equalWidth="0" w:num="1">
            <w:col w:w="11240"/>
          </w:cols>
          <w:pgMar w:left="320" w:top="1304" w:right="339" w:bottom="1440" w:gutter="0" w:footer="0" w:header="0"/>
        </w:sectPr>
      </w:pP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Company has reserved shares of its common stock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2014 Stock Option and Grant Plan and 2021 Incentive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Equity plan stock options outstanding</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RSUs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Shares available for future issuance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2021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Shares available for future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97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reserved shares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2014 Stock Option and Grant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13970</wp:posOffset>
            </wp:positionV>
            <wp:extent cx="11645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6459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13,504,931</w:t>
      </w:r>
    </w:p>
    <w:p>
      <w:pPr>
        <w:spacing w:after="0" w:line="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10,091,214</w:t>
      </w:r>
    </w:p>
    <w:p>
      <w:pPr>
        <w:spacing w:after="0" w:line="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24,635,517</w:t>
      </w:r>
    </w:p>
    <w:p>
      <w:pPr>
        <w:spacing w:after="0" w:line="2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5,280,091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26035</wp:posOffset>
            </wp:positionV>
            <wp:extent cx="11645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64590" cy="8255"/>
                    </a:xfrm>
                    <a:prstGeom prst="rect">
                      <a:avLst/>
                    </a:prstGeom>
                    <a:noFill/>
                  </pic:spPr>
                </pic:pic>
              </a:graphicData>
            </a:graphic>
          </wp:anchor>
        </w:drawing>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53,511,753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13970</wp:posOffset>
            </wp:positionV>
            <wp:extent cx="10617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6172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14,268,055</w:t>
      </w:r>
    </w:p>
    <w:p>
      <w:pPr>
        <w:spacing w:after="0" w:line="4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11,301,279</w:t>
      </w:r>
    </w:p>
    <w:p>
      <w:pPr>
        <w:spacing w:after="0" w:line="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18,260,813</w:t>
      </w:r>
    </w:p>
    <w:p>
      <w:pPr>
        <w:spacing w:after="0" w:line="2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4,079,994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26035</wp:posOffset>
            </wp:positionV>
            <wp:extent cx="10617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61720" cy="8255"/>
                    </a:xfrm>
                    <a:prstGeom prst="rect">
                      <a:avLst/>
                    </a:prstGeom>
                    <a:noFill/>
                  </pic:spPr>
                </pic:pic>
              </a:graphicData>
            </a:graphic>
          </wp:anchor>
        </w:drawing>
      </w:r>
    </w:p>
    <w:p>
      <w:pPr>
        <w:spacing w:after="0" w:line="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47,910,141</w:t>
      </w:r>
    </w:p>
    <w:p>
      <w:pPr>
        <w:spacing w:after="0" w:line="1072" w:lineRule="exact"/>
        <w:rPr>
          <w:sz w:val="20"/>
          <w:szCs w:val="20"/>
          <w:color w:val="auto"/>
        </w:rPr>
      </w:pPr>
    </w:p>
    <w:p>
      <w:pPr>
        <w:sectPr>
          <w:pgSz w:w="11900" w:h="16838" w:orient="portrait"/>
          <w:cols w:equalWidth="0" w:num="3">
            <w:col w:w="7200" w:space="720"/>
            <w:col w:w="1300" w:space="540"/>
            <w:col w:w="1480"/>
          </w:cols>
          <w:pgMar w:left="320" w:top="1304" w:right="339" w:bottom="1440" w:gutter="0" w:footer="0" w:header="0"/>
          <w:type w:val="continuous"/>
        </w:sect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December 2014, the Company adopted its 2014 Stock Option and Grant Plan (as amended, the “2014 Plan”), pursuant to which shares of the Company’s common stock were reserved for the issuance of stock options (incentive and non-statutory), restricted stock units (“RSUs”), and restricted stock to employees, directors, and consultants under terms and provisions established by the Company's board of directors and approved by the Company’s stockholders. The 2014 Plan was terminated in September 2021 in connection with the Direct Listing but continues to govern the terms of outstanding awards that were granted prior to the termination of the 2014 Plan. No further equity awards will be granted under the 2014 Plan. With the establishment of the 2021 Incentive Award Plan (the “2021 Plan”) as further discussed below, upon the expiration, forfeiture, cancellation, or reacquisition of any shares of Class A common stock underlying outstanding stock-based awards granted under the 2014 Plan, an equal number of shares of Class A common stock will become available for grant under the 2021 Plan.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Incentive Award Plan</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August 2021, the Company's board of directors adopted, and its stockholders approved, the 2021 Plan, which became effective in connection with the Direct Listing. The 2021 Plan provides for the grant of incentive stock options, nonqualified stock options, stock appreciation rights, restricted stock awards, RSU awards, performance bonus awards, performance stock units, dividend equivalent awards and other forms of equity compensation (collectively, “equity awards”). As of March 31, 2024, a total of 24,635,517 shares of the Company's Class A common stock have been reserved for issuance under the 2021 Plan in addition to (i) any shares available for issuance under the 2014 Plan as of the effective date of the 2021 Plan, (ii) the number of shares represented by awards outstanding under the Company's 2014 Plan (“Prior Plan Awards”) that become available upon the expiration, forfeiture,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type w:val="continuous"/>
        </w:sectPr>
      </w:pPr>
    </w:p>
    <w:bookmarkStart w:id="15" w:name="page16"/>
    <w:bookmarkEnd w:id="15"/>
    <w:p>
      <w:pPr>
        <w:ind w:right="100"/>
        <w:spacing w:after="0" w:line="258" w:lineRule="auto"/>
        <w:rPr>
          <w:sz w:val="20"/>
          <w:szCs w:val="20"/>
          <w:color w:val="auto"/>
        </w:rPr>
      </w:pPr>
      <w:r>
        <w:rPr>
          <w:rFonts w:ascii="Times New Roman" w:cs="Times New Roman" w:eastAsia="Times New Roman" w:hAnsi="Times New Roman"/>
          <w:sz w:val="18"/>
          <w:szCs w:val="18"/>
          <w:color w:val="auto"/>
        </w:rPr>
        <w:t>cancellation, or reacquisition of any shares of Class A common stock underlying outstanding stock awards granted under the 2014 Plan, and (iii) an annual increase on the first day of each fiscal year beginning in 2022 and ending in 2031, equal to the lesser of (A) 5% of the shares of the Company's common stock outstanding (on an as-converted basis) on the last day of the immediately preceding fiscal year and (B) such smaller number of shares of stock as determined by the Company's board of directors; provided, however, that no more than 88,000,000 shares of stock may be issued upon the exercise of incentive stock options.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Awards</w:t>
      </w:r>
    </w:p>
    <w:p>
      <w:pPr>
        <w:spacing w:after="0" w:line="119"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Stock options granted under the 2014 Plan and the 2021 Plan (collectively, the “combined stock plans”) generally vest based on continued service over four years.</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Option activity under the Company's combined stock plans for the three months ended March 31, 2024 is set forth below:</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5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43"/>
        </w:trPr>
        <w:tc>
          <w:tcPr>
            <w:tcW w:w="5500" w:type="dxa"/>
            <w:vAlign w:val="bottom"/>
          </w:tcPr>
          <w:p>
            <w:pPr>
              <w:spacing w:after="0"/>
              <w:rPr>
                <w:sz w:val="21"/>
                <w:szCs w:val="21"/>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Outstanding</w:t>
            </w:r>
          </w:p>
        </w:tc>
        <w:tc>
          <w:tcPr>
            <w:tcW w:w="16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3"/>
        </w:trPr>
        <w:tc>
          <w:tcPr>
            <w:tcW w:w="5500" w:type="dxa"/>
            <w:vAlign w:val="bottom"/>
          </w:tcPr>
          <w:p>
            <w:pPr>
              <w:spacing w:after="0"/>
              <w:rPr>
                <w:sz w:val="21"/>
                <w:szCs w:val="21"/>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4"/>
              </w:rPr>
              <w:t>stock</w:t>
            </w:r>
          </w:p>
        </w:tc>
        <w:tc>
          <w:tcPr>
            <w:tcW w:w="16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50"/>
        </w:trPr>
        <w:tc>
          <w:tcPr>
            <w:tcW w:w="5500" w:type="dxa"/>
            <w:vAlign w:val="bottom"/>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options</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22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life (years)</w:t>
            </w:r>
          </w:p>
        </w:tc>
        <w:tc>
          <w:tcPr>
            <w:tcW w:w="240" w:type="dxa"/>
            <w:vAlign w:val="bottom"/>
          </w:tcPr>
          <w:p>
            <w:pPr>
              <w:spacing w:after="0"/>
              <w:rPr>
                <w:sz w:val="21"/>
                <w:szCs w:val="21"/>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1"/>
                <w:szCs w:val="21"/>
                <w:color w:val="auto"/>
              </w:rPr>
            </w:pPr>
          </w:p>
        </w:tc>
      </w:tr>
      <w:tr>
        <w:trPr>
          <w:trHeight w:val="243"/>
        </w:trPr>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Balances as of December 31, 2023</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14,268,055</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4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118,757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(698,858 )</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Cancelled/forfeited</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(64,266 )</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6"/>
        </w:trPr>
        <w:tc>
          <w:tcPr>
            <w:tcW w:w="5500" w:type="dxa"/>
            <w:vAlign w:val="bottom"/>
            <w:tcBorders>
              <w:bottom w:val="single" w:sz="8" w:color="CFF0FC"/>
            </w:tcBorders>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Balances as of March 31, 2024</w:t>
            </w:r>
            <w:r>
              <w:rPr>
                <w:rFonts w:ascii="Times New Roman" w:cs="Times New Roman" w:eastAsia="Times New Roman" w:hAnsi="Times New Roman"/>
                <w:sz w:val="24"/>
                <w:szCs w:val="24"/>
                <w:color w:val="auto"/>
                <w:vertAlign w:val="superscript"/>
              </w:rPr>
              <w:t>(1)</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13,504,931</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4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86,326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50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Exercisable as of March 31, 2024</w:t>
            </w:r>
            <w:r>
              <w:rPr>
                <w:rFonts w:ascii="Times New Roman" w:cs="Times New Roman" w:eastAsia="Times New Roman" w:hAnsi="Times New Roman"/>
                <w:sz w:val="24"/>
                <w:szCs w:val="24"/>
                <w:color w:val="auto"/>
                <w:vertAlign w:val="superscript"/>
              </w:rPr>
              <w:t>(2)</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12,191,939</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85,786</w:t>
            </w:r>
          </w:p>
        </w:tc>
        <w:tc>
          <w:tcPr>
            <w:tcW w:w="10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-838200</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-205105</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-187960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8559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160" w:lineRule="exact"/>
        <w:rPr>
          <w:sz w:val="20"/>
          <w:szCs w:val="20"/>
          <w:color w:val="auto"/>
        </w:rPr>
      </w:pPr>
    </w:p>
    <w:p>
      <w:pPr>
        <w:ind w:left="380" w:hanging="372"/>
        <w:spacing w:after="0" w:line="233" w:lineRule="auto"/>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no forfeitures are estimated due to the Company’s adoption of ASU No. 2016-09, all options are vested or expected to vest. As of March 31, 2024, no options were outstanding that were subject to a future performance condition.</w:t>
      </w:r>
    </w:p>
    <w:p>
      <w:pPr>
        <w:ind w:left="380" w:hanging="372"/>
        <w:spacing w:after="0"/>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Exercisable shares include vested options as well as unvested shares that can be early exercised.</w:t>
      </w:r>
    </w:p>
    <w:p>
      <w:pPr>
        <w:spacing w:after="0" w:line="191" w:lineRule="exact"/>
        <w:rPr>
          <w:sz w:val="20"/>
          <w:szCs w:val="20"/>
          <w:color w:val="auto"/>
        </w:rPr>
      </w:pPr>
    </w:p>
    <w:p>
      <w:pPr>
        <w:jc w:val="both"/>
        <w:ind w:right="80" w:firstLine="509"/>
        <w:spacing w:after="0" w:line="265" w:lineRule="auto"/>
        <w:rPr>
          <w:sz w:val="20"/>
          <w:szCs w:val="20"/>
          <w:color w:val="auto"/>
        </w:rPr>
      </w:pPr>
      <w:r>
        <w:rPr>
          <w:rFonts w:ascii="Times New Roman" w:cs="Times New Roman" w:eastAsia="Times New Roman" w:hAnsi="Times New Roman"/>
          <w:sz w:val="18"/>
          <w:szCs w:val="18"/>
          <w:color w:val="auto"/>
        </w:rPr>
        <w:t>The aggregate intrinsic values of options are calculated as the difference between the exercise price of the options and the market price for shares of the Company’s Class A common stock as of each period-end. The total intrinsic value of options exercised for the three months ended March 31, 2024 and 2023 was $5.8 million and $5.2 million, respectively.</w:t>
      </w:r>
    </w:p>
    <w:p>
      <w:pPr>
        <w:spacing w:after="0" w:line="177"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No stock options were granted in the three months ended March 31, 2024. Stock options granted during the three months ended March 31, 2023 had a weighted average grant date fair value of $6.84 per share. The fair value of options granted is being expensed over the vesting period of the options on a straight-line basis as the services are being provided. No tax benefits were realized from options during the periods.</w:t>
      </w:r>
    </w:p>
    <w:p>
      <w:pPr>
        <w:spacing w:after="0" w:line="177" w:lineRule="exact"/>
        <w:rPr>
          <w:sz w:val="20"/>
          <w:szCs w:val="20"/>
          <w:color w:val="auto"/>
        </w:rPr>
      </w:pPr>
    </w:p>
    <w:p>
      <w:pPr>
        <w:jc w:val="both"/>
        <w:ind w:right="320" w:firstLine="509"/>
        <w:spacing w:after="0" w:line="265" w:lineRule="auto"/>
        <w:rPr>
          <w:sz w:val="20"/>
          <w:szCs w:val="20"/>
          <w:color w:val="auto"/>
        </w:rPr>
      </w:pPr>
      <w:r>
        <w:rPr>
          <w:rFonts w:ascii="Times New Roman" w:cs="Times New Roman" w:eastAsia="Times New Roman" w:hAnsi="Times New Roman"/>
          <w:sz w:val="18"/>
          <w:szCs w:val="18"/>
          <w:color w:val="auto"/>
        </w:rPr>
        <w:t>As of March 31, 2024, total unrecognized stock-based compensation expense related to options outstanding under the combined stock plans was $9.1 million. This unrecognized expense as of March 31, 2024 is expected to be recognized over the weighted average remaining vesting period of 2.16 years. As of March 31, 2024, the Company had 342,000 shares of non-employee stock options outstanding under the combined stock plans.</w:t>
      </w:r>
    </w:p>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fair value of each option granted to employees under the 2021 Plan is estimated on the grant date using the Black-Scholes pricing model.</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RSUs granted under the 2021 Plan generally vest based on continued service. RSUs granted pursuant to the 2014 Plan vest according to a service condition as well as a performance condition, through a liquidity event, including (i) a change in control of the Company or (ii) the initial public offering of the Company’s equity securities, following which the securities shall be publicly traded, which includes a direct listing. As a result of the Direct Listing, the performance condition for all RSUs granted pursuant to the 2014 Plan has been met. During the three months ended March 31, 2024 and 2023, the Company recorded $19.7 million and $16.6 million in stock-based compensation expense related to RSUs, respectively.</w:t>
      </w:r>
    </w:p>
    <w:p>
      <w:pPr>
        <w:spacing w:after="0" w:line="182" w:lineRule="exact"/>
        <w:rPr>
          <w:sz w:val="20"/>
          <w:szCs w:val="20"/>
          <w:color w:val="auto"/>
        </w:rPr>
      </w:pPr>
    </w:p>
    <w:p>
      <w:pPr>
        <w:jc w:val="both"/>
        <w:ind w:right="80" w:firstLine="509"/>
        <w:spacing w:after="0" w:line="265" w:lineRule="auto"/>
        <w:rPr>
          <w:sz w:val="20"/>
          <w:szCs w:val="20"/>
          <w:color w:val="auto"/>
        </w:rPr>
      </w:pPr>
      <w:r>
        <w:rPr>
          <w:rFonts w:ascii="Times New Roman" w:cs="Times New Roman" w:eastAsia="Times New Roman" w:hAnsi="Times New Roman"/>
          <w:sz w:val="18"/>
          <w:szCs w:val="18"/>
          <w:color w:val="auto"/>
        </w:rPr>
        <w:t>The total fair value of RSUs vested during the three months ended March 31, 2024 and 2023 was $20.6 million and $14.4 million, respectively. As of March 31, 2024, total unrecognized stock-based compensation expense related to RSUs was $131.3 million. This unrecognized expense as of March 31, 2024 is expected to be recognized over the weighted average remaining vesting</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period of 2.03 years. As of March 31, 2024, the Company had 143,896 shares of non-employee RSUs outstanding under the combined stock plans.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RSU activity during the three months ended March 31, 2024 was as follows:</w:t>
            </w:r>
          </w:p>
        </w:tc>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0"/>
        </w:trPr>
        <w:tc>
          <w:tcPr>
            <w:tcW w:w="7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r>
      <w:tr>
        <w:trPr>
          <w:trHeight w:val="216"/>
        </w:trPr>
        <w:tc>
          <w:tcPr>
            <w:tcW w:w="7420" w:type="dxa"/>
            <w:vAlign w:val="bottom"/>
          </w:tcPr>
          <w:p>
            <w:pPr>
              <w:spacing w:after="0"/>
              <w:rPr>
                <w:sz w:val="18"/>
                <w:szCs w:val="18"/>
                <w:color w:val="auto"/>
              </w:rPr>
            </w:pPr>
          </w:p>
        </w:tc>
        <w:tc>
          <w:tcPr>
            <w:tcW w:w="2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10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45"/>
        </w:trPr>
        <w:tc>
          <w:tcPr>
            <w:tcW w:w="7420" w:type="dxa"/>
            <w:vAlign w:val="bottom"/>
          </w:tcPr>
          <w:p>
            <w:pPr>
              <w:spacing w:after="0"/>
              <w:rPr>
                <w:sz w:val="21"/>
                <w:szCs w:val="21"/>
                <w:color w:val="auto"/>
              </w:rPr>
            </w:pPr>
          </w:p>
        </w:tc>
        <w:tc>
          <w:tcPr>
            <w:tcW w:w="210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00" w:type="dxa"/>
            <w:vAlign w:val="bottom"/>
          </w:tcPr>
          <w:p>
            <w:pPr>
              <w:spacing w:after="0"/>
              <w:rPr>
                <w:sz w:val="21"/>
                <w:szCs w:val="21"/>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value per share</w:t>
            </w:r>
          </w:p>
        </w:tc>
      </w:tr>
      <w:tr>
        <w:trPr>
          <w:trHeight w:val="243"/>
        </w:trPr>
        <w:tc>
          <w:tcPr>
            <w:tcW w:w="7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11,301,279</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687,854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(1,442,104 )</w:t>
            </w:r>
          </w:p>
        </w:tc>
        <w:tc>
          <w:tcPr>
            <w:tcW w:w="10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shd w:val="clear" w:color="auto" w:fill="CFF0FC"/>
          </w:tcPr>
          <w:p>
            <w:pPr>
              <w:spacing w:after="0"/>
              <w:rPr>
                <w:sz w:val="21"/>
                <w:szCs w:val="21"/>
                <w:color w:val="auto"/>
              </w:rPr>
            </w:pP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Cancelled/forfeited</w:t>
            </w:r>
          </w:p>
        </w:tc>
        <w:tc>
          <w:tcPr>
            <w:tcW w:w="2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(455,815 )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tcPr>
          <w:p>
            <w:pPr>
              <w:spacing w:after="0"/>
              <w:rPr>
                <w:sz w:val="21"/>
                <w:szCs w:val="21"/>
                <w:color w:val="auto"/>
              </w:rPr>
            </w:pPr>
          </w:p>
        </w:tc>
      </w:tr>
      <w:tr>
        <w:trPr>
          <w:trHeight w:val="276"/>
        </w:trPr>
        <w:tc>
          <w:tcPr>
            <w:tcW w:w="7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10,091,214</w:t>
            </w:r>
          </w:p>
        </w:tc>
        <w:tc>
          <w:tcPr>
            <w:tcW w:w="2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5869940</wp:posOffset>
            </wp:positionH>
            <wp:positionV relativeFrom="paragraph">
              <wp:posOffset>-658495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Employee Stock Purchase Plan</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August 2021, the Company’s board of directors adopted, and its stockholders approved, the 2021 Employee Stock Purchase Plan (the “ESPP”), which became effective in connection with the Direct Listing. The ESPP authorizes the issuance of shares of Class A common stock pursuant to purchase rights granted to employees. As of March 31, 2024, a total of 5,280,091 shares of the Company’s Class A common stock have been reserved for future issuance under the ESPP, in addition to any annual automatic evergreen increases in the number of shares of Class A common stock reserved for future issuance under the ESPP. The ESPP offers employees the option to purchase shares through a series of consecutive 12-month offering periods on each May 15th and November 15th (with two six-month purchase periods during each offering period). The price at which Class A common stock is purchased under the ESPP is equal to the lower of (i) 85% of the closing trading price per share of the Company's Class A common stock on the first trading date of an offering period in which a participant is enrolled or (ii) 85% of the closing trading price per share on the purchase date, which will occur on the last trading day of each purchase period, or such other price designated by the administrator.</w:t>
      </w:r>
    </w:p>
    <w:p>
      <w:pPr>
        <w:spacing w:after="0" w:line="78"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The ESPP offers a rollover feature pursuant to which, if the fair market value of a share of Class A common stock on the first purchase date is lower than the fair market value on the first trading day of the offering period, the respective offering period will terminate and each participant will be automatically enrolled in the offering period that commences immediately following the purchase date.</w:t>
      </w:r>
    </w:p>
    <w:p>
      <w:pPr>
        <w:spacing w:after="0" w:line="177" w:lineRule="exact"/>
        <w:rPr>
          <w:sz w:val="20"/>
          <w:szCs w:val="20"/>
          <w:color w:val="auto"/>
        </w:rPr>
      </w:pPr>
    </w:p>
    <w:p>
      <w:pPr>
        <w:ind w:right="340" w:firstLine="509"/>
        <w:spacing w:after="0" w:line="265" w:lineRule="auto"/>
        <w:rPr>
          <w:sz w:val="20"/>
          <w:szCs w:val="20"/>
          <w:color w:val="auto"/>
        </w:rPr>
      </w:pPr>
      <w:r>
        <w:rPr>
          <w:rFonts w:ascii="Times New Roman" w:cs="Times New Roman" w:eastAsia="Times New Roman" w:hAnsi="Times New Roman"/>
          <w:sz w:val="18"/>
          <w:szCs w:val="18"/>
          <w:color w:val="auto"/>
        </w:rPr>
        <w:t>As of March 31, 2024, 0.8 million shares have been purchased under the ESPP. During the three months ended March 31, 2024 and 2023, the Company recognized $0.4 million and $0.6 million of stock-based compensation expense related to the ESPP, respectively. As of March 31, 2024, total unrecognized compensation cost related to the ESPP was $0.4 million, which will be amortized over a weighted average period of 0.38 years.</w:t>
      </w:r>
    </w:p>
    <w:p>
      <w:pPr>
        <w:spacing w:after="0" w:line="177"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Stock-based compensation expense, net of actual forfeitures is reflected in the condensed consolidated statements of operations and comprehensive loss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8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4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43"/>
        </w:trPr>
        <w:tc>
          <w:tcPr>
            <w:tcW w:w="7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900" w:type="dxa"/>
            <w:vAlign w:val="bottom"/>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shd w:val="clear" w:color="auto" w:fill="CFF0FC"/>
          </w:tcPr>
          <w:p>
            <w:pPr>
              <w:spacing w:after="0"/>
              <w:rPr>
                <w:sz w:val="21"/>
                <w:szCs w:val="21"/>
                <w:color w:val="auto"/>
              </w:rPr>
            </w:pPr>
          </w:p>
        </w:tc>
      </w:tr>
      <w:tr>
        <w:trPr>
          <w:trHeight w:val="238"/>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8,579</w:t>
            </w: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6,871</w:t>
            </w:r>
          </w:p>
        </w:tc>
        <w:tc>
          <w:tcPr>
            <w:tcW w:w="2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00" w:type="dxa"/>
            <w:vAlign w:val="bottom"/>
            <w:shd w:val="clear" w:color="auto" w:fill="CFF0FC"/>
          </w:tcPr>
          <w:p>
            <w:pPr>
              <w:spacing w:after="0"/>
              <w:rPr>
                <w:sz w:val="21"/>
                <w:szCs w:val="21"/>
                <w:color w:val="auto"/>
              </w:rPr>
            </w:pP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28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100" w:type="dxa"/>
            <w:vAlign w:val="bottom"/>
          </w:tcPr>
          <w:p>
            <w:pPr>
              <w:spacing w:after="0"/>
              <w:rPr>
                <w:sz w:val="21"/>
                <w:szCs w:val="21"/>
                <w:color w:val="auto"/>
              </w:rPr>
            </w:pPr>
          </w:p>
        </w:tc>
      </w:tr>
      <w:tr>
        <w:trPr>
          <w:trHeight w:val="276"/>
        </w:trPr>
        <w:tc>
          <w:tcPr>
            <w:tcW w:w="7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21,064</w:t>
            </w:r>
          </w:p>
        </w:tc>
        <w:tc>
          <w:tcPr>
            <w:tcW w:w="28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5844540</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420" w:firstLine="509"/>
        <w:spacing w:after="0" w:line="281" w:lineRule="auto"/>
        <w:rPr>
          <w:sz w:val="20"/>
          <w:szCs w:val="20"/>
          <w:color w:val="auto"/>
        </w:rPr>
      </w:pPr>
      <w:r>
        <w:rPr>
          <w:rFonts w:ascii="Times New Roman" w:cs="Times New Roman" w:eastAsia="Times New Roman" w:hAnsi="Times New Roman"/>
          <w:sz w:val="18"/>
          <w:szCs w:val="18"/>
          <w:color w:val="auto"/>
        </w:rPr>
        <w:t>The Company had an effective tax rate of (2.0)% and (1.1)% for the three months ended March 31, 2024 and 2023, respectively. The Company continues to incur U.S. operating losses and has minimal profits in its foreign jurisdictions.</w:t>
      </w:r>
    </w:p>
    <w:p>
      <w:pPr>
        <w:spacing w:after="0" w:line="163" w:lineRule="exact"/>
        <w:rPr>
          <w:sz w:val="20"/>
          <w:szCs w:val="20"/>
          <w:color w:val="auto"/>
        </w:rPr>
      </w:pPr>
    </w:p>
    <w:p>
      <w:pPr>
        <w:ind w:right="420" w:firstLine="509"/>
        <w:spacing w:after="0" w:line="281"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evaluated all available evidence, both positive and negative, including historical levels of income, and expectations and risks associated with estimates of future taxable income, and</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7" w:name="page18"/>
    <w:bookmarkEnd w:id="17"/>
    <w:p>
      <w:pPr>
        <w:ind w:right="380"/>
        <w:spacing w:after="0" w:line="265" w:lineRule="auto"/>
        <w:rPr>
          <w:sz w:val="20"/>
          <w:szCs w:val="20"/>
          <w:color w:val="auto"/>
        </w:rPr>
      </w:pPr>
      <w:r>
        <w:rPr>
          <w:rFonts w:ascii="Times New Roman" w:cs="Times New Roman" w:eastAsia="Times New Roman" w:hAnsi="Times New Roman"/>
          <w:sz w:val="18"/>
          <w:szCs w:val="18"/>
          <w:color w:val="auto"/>
        </w:rPr>
        <w:t>determined that it is more likely than not that its net deferred tax assets will not be realized in the United States. Due to uncertainties surrounding the realization of the deferred tax assets, the Company continues to maintain a full valuation allowance against its net deferred tax assets within the United States.</w:t>
      </w:r>
    </w:p>
    <w:p>
      <w:pPr>
        <w:spacing w:after="0" w:line="281"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w:t>
      </w:r>
    </w:p>
    <w:p>
      <w:pPr>
        <w:spacing w:after="0" w:line="228"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Supplemental cash flow information related to operating leases was as follows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8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50"/>
        </w:trPr>
        <w:tc>
          <w:tcPr>
            <w:tcW w:w="87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243"/>
        </w:trPr>
        <w:tc>
          <w:tcPr>
            <w:tcW w:w="8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right="340" w:firstLine="509"/>
        <w:spacing w:after="0" w:line="281" w:lineRule="auto"/>
        <w:rPr>
          <w:sz w:val="20"/>
          <w:szCs w:val="20"/>
          <w:color w:val="auto"/>
        </w:rPr>
      </w:pPr>
      <w:r>
        <w:rPr>
          <w:rFonts w:ascii="Times New Roman" w:cs="Times New Roman" w:eastAsia="Times New Roman" w:hAnsi="Times New Roman"/>
          <w:sz w:val="18"/>
          <w:szCs w:val="18"/>
          <w:color w:val="auto"/>
        </w:rPr>
        <w:t>Future minimum lease payments under non-cancellable operating leases with initial lease terms in excess of one year included in the Company’s lease liabilities as of March 31, 2024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10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Remainder of 2024</w:t>
            </w:r>
          </w:p>
        </w:tc>
        <w:tc>
          <w:tcPr>
            <w:tcW w:w="10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00" w:type="dxa"/>
            <w:vAlign w:val="bottom"/>
          </w:tcPr>
          <w:p>
            <w:pPr>
              <w:spacing w:after="0"/>
              <w:rPr>
                <w:sz w:val="20"/>
                <w:szCs w:val="20"/>
                <w:color w:val="auto"/>
              </w:rPr>
            </w:pPr>
          </w:p>
        </w:tc>
      </w:tr>
      <w:tr>
        <w:trPr>
          <w:trHeight w:val="247"/>
        </w:trPr>
        <w:tc>
          <w:tcPr>
            <w:tcW w:w="8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10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00" w:type="dxa"/>
            <w:vAlign w:val="bottom"/>
            <w:shd w:val="clear" w:color="auto" w:fill="CFF0FC"/>
          </w:tcPr>
          <w:p>
            <w:pPr>
              <w:spacing w:after="0"/>
              <w:rPr>
                <w:sz w:val="21"/>
                <w:szCs w:val="21"/>
                <w:color w:val="auto"/>
              </w:rPr>
            </w:pPr>
          </w:p>
        </w:tc>
      </w:tr>
      <w:tr>
        <w:trPr>
          <w:trHeight w:val="238"/>
        </w:trPr>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2026</w:t>
            </w:r>
          </w:p>
        </w:tc>
        <w:tc>
          <w:tcPr>
            <w:tcW w:w="10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20"/>
                <w:szCs w:val="20"/>
                <w:color w:val="auto"/>
              </w:rPr>
            </w:pPr>
          </w:p>
        </w:tc>
      </w:tr>
      <w:tr>
        <w:trPr>
          <w:trHeight w:val="247"/>
        </w:trPr>
        <w:tc>
          <w:tcPr>
            <w:tcW w:w="8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2027</w:t>
            </w:r>
          </w:p>
        </w:tc>
        <w:tc>
          <w:tcPr>
            <w:tcW w:w="10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2028 and thereafter</w:t>
            </w:r>
          </w:p>
        </w:tc>
        <w:tc>
          <w:tcPr>
            <w:tcW w:w="104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00" w:type="dxa"/>
            <w:vAlign w:val="bottom"/>
            <w:shd w:val="clear" w:color="auto" w:fill="CFF0FC"/>
          </w:tcPr>
          <w:p>
            <w:pPr>
              <w:spacing w:after="0"/>
              <w:rPr>
                <w:sz w:val="20"/>
                <w:szCs w:val="20"/>
                <w:color w:val="auto"/>
              </w:rPr>
            </w:pPr>
          </w:p>
        </w:tc>
      </w:tr>
      <w:tr>
        <w:trPr>
          <w:trHeight w:val="243"/>
        </w:trPr>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imputed interest</w:t>
            </w:r>
          </w:p>
        </w:tc>
        <w:tc>
          <w:tcPr>
            <w:tcW w:w="1040" w:type="dxa"/>
            <w:vAlign w:val="bottom"/>
          </w:tcPr>
          <w:p>
            <w:pPr>
              <w:spacing w:after="0"/>
              <w:rPr>
                <w:sz w:val="21"/>
                <w:szCs w:val="21"/>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(180 )</w:t>
            </w:r>
          </w:p>
        </w:tc>
      </w:tr>
      <w:tr>
        <w:trPr>
          <w:trHeight w:val="276"/>
        </w:trPr>
        <w:tc>
          <w:tcPr>
            <w:tcW w:w="8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040" w:type="dxa"/>
            <w:vAlign w:val="bottom"/>
            <w:tcBorders>
              <w:top w:val="single" w:sz="8" w:color="auto"/>
              <w:bottom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February 14, 2024, a putative securities class action captioned Fagan v. Amplitude, Inc., et al., Case No. 3:24-cv-00898 (the “Class Action”) was filed in the United States District Court for the Northern District of California, naming the Company, its Chief Executive Officer, and its former Chief Financial Officer as defendants. The lawsuit is purportedly brought on behalf of all those who purchased or acquired the Company’s common stock between September 21, 2021 and February 16, 2022. The complaint alleges claims under Sections 10(b) and 20(a) of the Securities Exchange Act of 1934, as amended, based on allegedly false or misleading statements related to the Company’s business and financial outlook. The lawsuit seeks unspecified damages and other relief. The defendants deny the allegations of wrongdoing and intend to vigorously defend against the claims in the Class Action.</w:t>
      </w:r>
    </w:p>
    <w:p>
      <w:pPr>
        <w:spacing w:after="0" w:line="78"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The Company has received, and may in the future continue to receive, claims from third parties asserting, among other things, infringement of their intellectual property rights. Future litigation may be necessary to defend the Company, its partners and its customers by determining the scope, enforceability and validity of third-party proprietary rights, or to establish its proprietary rights.</w:t>
      </w:r>
    </w:p>
    <w:p>
      <w:pPr>
        <w:spacing w:after="0" w:line="6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the matters discussed above, from time to time, the Company is party to litigation and other legal proceedings in the ordinary course of business. While the Company does not believe the ultimate resolution of pending legal matters is likely to have a material adverse effect on its financial position, the results of any litigation or other legal proceedings are uncertain and as such the resolution of such legal proceedings, either individually or in the aggregate, could have a material adverse effect on its business, results of operations, financial condition or cash flows. The Company records litigation accruals for legal matters, which are both probable and estimable. For legal proceedings for which there is a reasonable possibility of loss (meaning those losses for which the likelihood is more than remote but less than probable), the Company has determined that it does not have material exposure, or it is unable to develop a range of reasonably possible losses. Although no assurance may be given, the Company believes that it is not presently a party to any litigation of which the outcome, if determined adversely, would individually or in the aggregate be reasonably expected to have a material and adverse effect on the business, operating results, cash flows, or financial position. Legal fees are expensed in the period in which they are incurred.</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8" w:name="page19"/>
    <w:bookmarkEnd w:id="18"/>
    <w:p>
      <w:pPr>
        <w:ind w:left="520" w:hanging="512"/>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Basic net loss per share attributable to the Company’s common stockholders is computed in conformity with the two-class method required for participating securities. The rights, including the liquidation and dividend rights, of the holders of Class A and Class B common stock are identical, except with respect to voting, conversion, and transfer rights. As the liquidation and dividend rights are identical, all undistributed earnings are allocated on a proportionate basis to each class of common stock and the resulting basic and diluted net loss per share attributable to common stockholders are, therefore, the same for both Class A and Class B common stock on both an individual and a combined basis.</w:t>
      </w:r>
    </w:p>
    <w:p>
      <w:pPr>
        <w:spacing w:after="0" w:line="182"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the Company’s common stockholders by the weighted-average number of shares of common stock outstanding during the period. Diluted net loss per share is the same as basic net loss per share for all periods presented because the effects of potentially dilutive items were anti-dilutive given the Company’s net loss position in each period presented.</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(in thousands, except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4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000" w:type="dxa"/>
            <w:vAlign w:val="bottom"/>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Class A and Class B common stockholders</w:t>
            </w:r>
          </w:p>
        </w:tc>
        <w:tc>
          <w:tcPr>
            <w:tcW w:w="1200" w:type="dxa"/>
            <w:vAlign w:val="bottom"/>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(21,460 )</w:t>
            </w:r>
          </w:p>
        </w:tc>
        <w:tc>
          <w:tcPr>
            <w:tcW w:w="7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(26,315 )</w:t>
            </w:r>
          </w:p>
        </w:tc>
        <w:tc>
          <w:tcPr>
            <w:tcW w:w="0" w:type="dxa"/>
            <w:vAlign w:val="bottom"/>
          </w:tcPr>
          <w:p>
            <w:pPr>
              <w:spacing w:after="0"/>
              <w:rPr>
                <w:sz w:val="1"/>
                <w:szCs w:val="1"/>
                <w:color w:val="auto"/>
              </w:rPr>
            </w:pPr>
          </w:p>
        </w:tc>
      </w:tr>
      <w:tr>
        <w:trPr>
          <w:trHeight w:val="211"/>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w:t>
            </w: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attributable to Class A and Class B common stockholders,</w:t>
            </w:r>
          </w:p>
        </w:tc>
        <w:tc>
          <w:tcPr>
            <w:tcW w:w="120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120,826</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114,369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1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7000" w:type="dxa"/>
            <w:vAlign w:val="bottom"/>
            <w:shd w:val="clear" w:color="auto" w:fill="CFF0FC"/>
          </w:tcPr>
          <w:p>
            <w:pPr>
              <w:ind w:left="200"/>
              <w:spacing w:after="0" w:line="204" w:lineRule="exact"/>
              <w:rPr>
                <w:sz w:val="20"/>
                <w:szCs w:val="20"/>
                <w:color w:val="auto"/>
              </w:rPr>
            </w:pPr>
            <w:r>
              <w:rPr>
                <w:rFonts w:ascii="Times New Roman" w:cs="Times New Roman" w:eastAsia="Times New Roman" w:hAnsi="Times New Roman"/>
                <w:sz w:val="18"/>
                <w:szCs w:val="18"/>
                <w:color w:val="auto"/>
              </w:rPr>
              <w:t>Net loss per share attributable to Class A and Class B</w:t>
            </w:r>
          </w:p>
        </w:tc>
        <w:tc>
          <w:tcPr>
            <w:tcW w:w="1200" w:type="dxa"/>
            <w:vAlign w:val="bottom"/>
            <w:vMerge w:val="restart"/>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(0.18 )</w:t>
            </w:r>
          </w:p>
        </w:tc>
        <w:tc>
          <w:tcPr>
            <w:tcW w:w="700" w:type="dxa"/>
            <w:vAlign w:val="bottom"/>
            <w:vMerge w:val="restart"/>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(0.23 )</w:t>
            </w:r>
          </w:p>
        </w:tc>
        <w:tc>
          <w:tcPr>
            <w:tcW w:w="0" w:type="dxa"/>
            <w:vAlign w:val="bottom"/>
          </w:tcPr>
          <w:p>
            <w:pPr>
              <w:spacing w:after="0"/>
              <w:rPr>
                <w:sz w:val="1"/>
                <w:szCs w:val="1"/>
                <w:color w:val="auto"/>
              </w:rPr>
            </w:pPr>
          </w:p>
        </w:tc>
      </w:tr>
      <w:tr>
        <w:trPr>
          <w:trHeight w:val="227"/>
        </w:trPr>
        <w:tc>
          <w:tcPr>
            <w:tcW w:w="70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common stockholders, basic and diluted</w:t>
            </w:r>
          </w:p>
        </w:tc>
        <w:tc>
          <w:tcPr>
            <w:tcW w:w="1200" w:type="dxa"/>
            <w:vAlign w:val="bottom"/>
            <w:vMerge w:val="continue"/>
            <w:shd w:val="clear" w:color="auto" w:fill="CFF0FC"/>
          </w:tcPr>
          <w:p>
            <w:pPr>
              <w:spacing w:after="0"/>
              <w:rPr>
                <w:sz w:val="19"/>
                <w:szCs w:val="19"/>
                <w:color w:val="auto"/>
              </w:rPr>
            </w:pPr>
          </w:p>
        </w:tc>
        <w:tc>
          <w:tcPr>
            <w:tcW w:w="1040" w:type="dxa"/>
            <w:vAlign w:val="bottom"/>
            <w:gridSpan w:val="2"/>
            <w:vMerge w:val="continue"/>
            <w:shd w:val="clear" w:color="auto" w:fill="CFF0FC"/>
          </w:tcPr>
          <w:p>
            <w:pPr>
              <w:spacing w:after="0"/>
              <w:rPr>
                <w:sz w:val="19"/>
                <w:szCs w:val="19"/>
                <w:color w:val="auto"/>
              </w:rPr>
            </w:pPr>
          </w:p>
        </w:tc>
        <w:tc>
          <w:tcPr>
            <w:tcW w:w="700" w:type="dxa"/>
            <w:vAlign w:val="bottom"/>
            <w:vMerge w:val="continue"/>
            <w:shd w:val="clear" w:color="auto" w:fill="CFF0FC"/>
          </w:tcPr>
          <w:p>
            <w:pPr>
              <w:spacing w:after="0"/>
              <w:rPr>
                <w:sz w:val="19"/>
                <w:szCs w:val="19"/>
                <w:color w:val="auto"/>
              </w:rPr>
            </w:pPr>
          </w:p>
        </w:tc>
        <w:tc>
          <w:tcPr>
            <w:tcW w:w="13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8"/>
          <w:szCs w:val="18"/>
          <w:color w:val="auto"/>
        </w:rPr>
        <w:t>The following potential shares of common stock were excluded from the calculation of diluted net loss per share because their effect would have been anti-dilutive for the periods presented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6960" w:type="dxa"/>
            <w:vAlign w:val="bottom"/>
          </w:tcPr>
          <w:p>
            <w:pPr>
              <w:spacing w:after="0"/>
              <w:rPr>
                <w:sz w:val="21"/>
                <w:szCs w:val="21"/>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8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plan stock options outstanding</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13,505</w:t>
            </w:r>
          </w:p>
        </w:tc>
        <w:tc>
          <w:tcPr>
            <w:tcW w:w="2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16,170</w:t>
            </w:r>
          </w:p>
        </w:tc>
        <w:tc>
          <w:tcPr>
            <w:tcW w:w="100" w:type="dxa"/>
            <w:vAlign w:val="bottom"/>
            <w:shd w:val="clear" w:color="auto" w:fill="CFF0FC"/>
          </w:tcPr>
          <w:p>
            <w:pPr>
              <w:spacing w:after="0"/>
              <w:rPr>
                <w:sz w:val="21"/>
                <w:szCs w:val="21"/>
                <w:color w:val="auto"/>
              </w:rPr>
            </w:pPr>
          </w:p>
        </w:tc>
      </w:tr>
      <w:tr>
        <w:trPr>
          <w:trHeight w:val="238"/>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plan stock options early exercised</w:t>
            </w:r>
          </w:p>
        </w:tc>
        <w:tc>
          <w:tcPr>
            <w:tcW w:w="156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0"/>
                <w:szCs w:val="20"/>
                <w:color w:val="auto"/>
              </w:rPr>
            </w:pPr>
          </w:p>
        </w:tc>
      </w:tr>
      <w:tr>
        <w:trPr>
          <w:trHeight w:val="247"/>
        </w:trPr>
        <w:tc>
          <w:tcPr>
            <w:tcW w:w="8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outstanding</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10,091</w:t>
            </w:r>
          </w:p>
        </w:tc>
        <w:tc>
          <w:tcPr>
            <w:tcW w:w="2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100" w:type="dxa"/>
            <w:vAlign w:val="bottom"/>
            <w:shd w:val="clear" w:color="auto" w:fill="CFF0FC"/>
          </w:tcPr>
          <w:p>
            <w:pPr>
              <w:spacing w:after="0"/>
              <w:rPr>
                <w:sz w:val="21"/>
                <w:szCs w:val="21"/>
                <w:color w:val="auto"/>
              </w:rPr>
            </w:pPr>
          </w:p>
        </w:tc>
      </w:tr>
      <w:tr>
        <w:trPr>
          <w:trHeight w:val="238"/>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shares</w:t>
            </w:r>
          </w:p>
        </w:tc>
        <w:tc>
          <w:tcPr>
            <w:tcW w:w="156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r>
      <w:tr>
        <w:trPr>
          <w:trHeight w:val="247"/>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issuable pursuant to the ESPP</w:t>
            </w:r>
          </w:p>
        </w:tc>
        <w:tc>
          <w:tcPr>
            <w:tcW w:w="130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23,970</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27,705</w:t>
            </w:r>
          </w:p>
        </w:tc>
        <w:tc>
          <w:tcPr>
            <w:tcW w:w="100" w:type="dxa"/>
            <w:vAlign w:val="bottom"/>
          </w:tcPr>
          <w:p>
            <w:pPr>
              <w:spacing w:after="0"/>
              <w:rPr>
                <w:sz w:val="20"/>
                <w:szCs w:val="20"/>
                <w:color w:val="auto"/>
              </w:rPr>
            </w:pPr>
          </w:p>
        </w:tc>
      </w:tr>
      <w:tr>
        <w:trPr>
          <w:trHeight w:val="20"/>
        </w:trPr>
        <w:tc>
          <w:tcPr>
            <w:tcW w:w="69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-187960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ind w:left="540" w:hanging="532"/>
        <w:spacing w:after="0"/>
        <w:tabs>
          <w:tab w:leader="none" w:pos="5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In April 2024, the Company issued 5.4 million RSUs to its employees with service-based vesting conditions. The service-based vesting condition for these awards are satisfied over three years. The grant date fair value of the RSUs issued in April 2024 was approximately $52.3 million.</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consolidated financial statements and related notes appearing in our Annual Report on Form 10-K for the year ended December 31, 2023 (the “2023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 Our historical results are not necessarily indicative of the results that may be expected for any period in the future.</w:t>
      </w:r>
    </w:p>
    <w:p>
      <w:pPr>
        <w:spacing w:after="0" w:line="189" w:lineRule="exact"/>
        <w:rPr>
          <w:sz w:val="20"/>
          <w:szCs w:val="20"/>
          <w:color w:val="auto"/>
        </w:rPr>
      </w:pPr>
    </w:p>
    <w:p>
      <w:pPr>
        <w:ind w:right="280"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report to “Amplitude,” the “Company,” “we,” “our,” “us,” or similar terms refer to Amplitude, Inc. and its subsidiaries.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Amplitude is a leading Digital Analytics Platform that helps businesses understand how people are using their products so they can build amazing digital experiences that increase acquisition, monetization and retention - and drive revenue growth. We work with almost 3,000 paying customers of various sizes and stages of digital maturity, across many industries, including the teams behind some of the most-beloved digital products in the world. We have experienced significant growth in recent years, with approximately 700 employees in seven global offices.</w:t>
      </w:r>
    </w:p>
    <w:p>
      <w:pPr>
        <w:spacing w:after="0" w:line="7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At the core of our Digital Analytics Platform is our Behavioral Graph, a proprietary, purpose-built behavioral database that is the largest of its kind. Our Behavioral Graph instantly finds patterns, makes recommendations, and connects customer actions along their journeys to the right business outcomes, like engagement, growth, and loyalty. We architected our Behavioral Graph to power numerous products, beginning with our core product analytics platform. Consistently ranked #1 in multiple categories by G2, Amplitude Analytics provides real-time product data and reconstructed user visits so cross-functional teams can understand what is working and what is not. We have since expanded our offerings to include products that enable teams to build personalized product experiences, test product changes, and improve data quality across their technology stack.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We believe that the growth and future success of our business depends on many factors. While each of these factors presents significant opportunities for our business, they also pose important challenges that we must successfully address in order to sustain our growth and improve our results of operations.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and Expansion</w:t>
      </w:r>
    </w:p>
    <w:p>
      <w:pPr>
        <w:spacing w:after="0" w:line="121" w:lineRule="exact"/>
        <w:rPr>
          <w:sz w:val="20"/>
          <w:szCs w:val="20"/>
          <w:color w:val="auto"/>
        </w:rPr>
      </w:pPr>
    </w:p>
    <w:p>
      <w:pPr>
        <w:ind w:right="320" w:firstLine="509"/>
        <w:spacing w:after="0" w:line="260" w:lineRule="auto"/>
        <w:rPr>
          <w:sz w:val="20"/>
          <w:szCs w:val="20"/>
          <w:color w:val="auto"/>
        </w:rPr>
      </w:pPr>
      <w:r>
        <w:rPr>
          <w:rFonts w:ascii="Times New Roman" w:cs="Times New Roman" w:eastAsia="Times New Roman" w:hAnsi="Times New Roman"/>
          <w:sz w:val="18"/>
          <w:szCs w:val="18"/>
          <w:color w:val="auto"/>
        </w:rPr>
        <w:t>We believe that our Digital Analytics Platform can help businesses across industries, company size, and stages of digital maturity drive better business outcomes through optimizing the digital product experience of their customers. We are focused on continuing to acquire new customers and expanding our relationships with our existing installed base to support our long-term growth. We have invested, and expect to continue to invest, in our sales and marketing efforts to drive customer acquisition.</w:t>
      </w:r>
    </w:p>
    <w:p>
      <w:pPr>
        <w:spacing w:after="0" w:line="182"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As of March 31, 2024 and 2023, we had 2,970 and 2,175 paying customers, respectively, representing an increase of 37% year-over-year. Our relationship with some of the world’s most beloved product-led companies has resulted in increased brand credibility and access to many attractive growth opportunities.</w:t>
      </w:r>
    </w:p>
    <w:p>
      <w:pPr>
        <w:spacing w:after="0" w:line="17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Historically, we have been successful at efficiently growing our customer spend over time as evidenced by our dollar-based net retention rate for the trailing twelve months and the growing number of customers that represent greater than $100,000 in annual recurring revenue (“ARR”). As of March 31, 2024 and 2023, our dollar-based net retention rate for the trailing twelve months was 99% and 114%, respectively, for paying customers. Additionally, our ending dollar-based net retention rate for paying customers as of March 31, 2024 and 2023, was 97% and 106%, respectively. We continue to increase the number of customers who have entered and grown into larger subscriptions with us. As of March 31, 2024 and 2023, we had 521 and 491 customers, respectively, that each represented greater than $100,000 in ARR, representing a 6% increase year-over-year.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Platform</w:t>
      </w:r>
    </w:p>
    <w:p>
      <w:pPr>
        <w:spacing w:after="0" w:line="121"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We believe that our customers will demand additional features and capabilities beyond our current platform offerings to assist them in optimizing their digital products. We have a history of, and will continue to invest significantly in, developing and delivering</w:t>
      </w:r>
    </w:p>
    <w:p>
      <w:pPr>
        <w:spacing w:after="0" w:line="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4" w:right="379" w:bottom="1440" w:gutter="0" w:footer="0" w:header="0"/>
        </w:sectPr>
      </w:pPr>
    </w:p>
    <w:bookmarkStart w:id="20" w:name="page21"/>
    <w:bookmarkEnd w:id="20"/>
    <w:p>
      <w:pPr>
        <w:ind w:right="460"/>
        <w:spacing w:after="0" w:line="260" w:lineRule="auto"/>
        <w:rPr>
          <w:sz w:val="20"/>
          <w:szCs w:val="20"/>
          <w:color w:val="auto"/>
        </w:rPr>
      </w:pPr>
      <w:r>
        <w:rPr>
          <w:rFonts w:ascii="Times New Roman" w:cs="Times New Roman" w:eastAsia="Times New Roman" w:hAnsi="Times New Roman"/>
          <w:sz w:val="18"/>
          <w:szCs w:val="18"/>
          <w:color w:val="auto"/>
        </w:rPr>
        <w:t>innovative products, features, and functionality targeted at our core customer base. In addition, we may choose to add new products and offerings or enhance our platform capabilities through acquisitions. In recent years, we have acquired companies to bolster our predictive analytics and data instrumentation capabilities. Going forward, we may pursue both strategic partnerships and acquisitions that we believe will be complementary to our business, accelerate customer acquisition, increase usage of our platform, and/or expand our product offerings in our core markets.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for Growth</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investment for growth encompasses multiple critical areas, including product expansion, our sales force, sales support, partner ecosystem, and our international presence. We continue to evolve our technology and product offerings, to ensure that we are best serving our customers’ needs. For example, in October we introduced Plus to bring the full power of digital analytics to every team for less. We believe the evolution of our technology and product offerings will lead to continued increased retention and positive customer referrals that will continue to generate expansion opportunities within our existing installed base and from new customers. We plan to continue to invest in our research and development organization to maintain and strengthen our market leadership position, and we believe that attracting the best engineering talent will continue to be critical to our long-term success. Although there have been recent cost savings due to our restructuring, as we continue to invest in our platform, we expect our research and development expenses to increase in dollar amount over time. Over the longer term, we believe these expenses as a percentage of revenue will decrease, though these expenses as a percentage of revenue could increase in the short term.</w:t>
      </w:r>
    </w:p>
    <w:p>
      <w:pPr>
        <w:spacing w:after="0" w:line="18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will continue to make strategic investments in our sales efforts to pursue attractive growth opportunities and ensure customer success, particularly with larger enterprises where we have experienced significant traction to date. We also plan to invest in our channel partners, such as independent software vendors, and resellers, to extend our reach faster than we could do on our own. Although there have been recent cost savings due to our restructuring, as we continue to invest in our sales efforts, we expect our sales and marketing expenses to increase in dollar amount over time. Over the longer term, we believe these expenses as a percentage of revenue will decrease over the longer term, though these expenses as a percentage of revenue could increase in the short term.</w:t>
      </w:r>
    </w:p>
    <w:p>
      <w:pPr>
        <w:spacing w:after="0" w:line="1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Finally, we see opportunities to expand offices and headcount internationally to better service targeted international markets where we believe we have significant opportunity to accelerate existing traction and success. For the three months ended March 31, 2024, 40% of our revenue was generated outside the United States. As we seek to expand our business globally, we may be adversely affected by global economic and political instability. For example, as a result of the Russia-Ukraine war, we terminated certain relationships with customers in Russia and some of the businesses of our customers in the impacted regions have experienced disruptions that have affected their ability to pay for our services. See “Risk Factors–Risks Related to Our Business and Industry–Our operations are international in scope, and we plan further geographical expansion, creating a variety of operational challenges.”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jc w:val="both"/>
        <w:ind w:right="280" w:firstLine="509"/>
        <w:spacing w:after="0" w:line="265" w:lineRule="auto"/>
        <w:rPr>
          <w:sz w:val="20"/>
          <w:szCs w:val="20"/>
          <w:color w:val="auto"/>
        </w:rPr>
      </w:pPr>
      <w:r>
        <w:rPr>
          <w:rFonts w:ascii="Times New Roman" w:cs="Times New Roman" w:eastAsia="Times New Roman" w:hAnsi="Times New Roman"/>
          <w:sz w:val="18"/>
          <w:szCs w:val="18"/>
          <w:color w:val="auto"/>
        </w:rPr>
        <w:t>We review a number of operating and financial metrics, including the following key metrics to evaluate our business, measure our performance, identify trends affecting our business, formulate business plans, and make strategic decisions. We are not aware of any uniform standards for calculating these key metrics, which may hinder comparability with other companies who may calculate similarly-titled metrics in a different way.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2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5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40"/>
        </w:trPr>
        <w:tc>
          <w:tcPr>
            <w:tcW w:w="54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YoY Growth</w:t>
            </w:r>
          </w:p>
        </w:tc>
      </w:tr>
      <w:tr>
        <w:trPr>
          <w:trHeight w:val="245"/>
        </w:trPr>
        <w:tc>
          <w:tcPr>
            <w:tcW w:w="5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i w:val="1"/>
                <w:iCs w:val="1"/>
                <w:color w:val="auto"/>
              </w:rPr>
              <w:t>(dollar values in millions)</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63"/>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Annual Recurring Revenue</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300" w:type="dxa"/>
            <w:vAlign w:val="bottom"/>
            <w:shd w:val="clear" w:color="auto" w:fill="CFF0FC"/>
          </w:tcPr>
          <w:p>
            <w:pPr>
              <w:spacing w:after="0"/>
              <w:rPr>
                <w:sz w:val="22"/>
                <w:szCs w:val="22"/>
                <w:color w:val="auto"/>
              </w:rPr>
            </w:pPr>
          </w:p>
        </w:tc>
        <w:tc>
          <w:tcPr>
            <w:tcW w:w="1320" w:type="dxa"/>
            <w:vAlign w:val="bottom"/>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80" w:type="dxa"/>
            <w:vAlign w:val="bottom"/>
            <w:shd w:val="clear" w:color="auto" w:fill="CFF0FC"/>
          </w:tcPr>
          <w:p>
            <w:pPr>
              <w:spacing w:after="0"/>
              <w:rPr>
                <w:sz w:val="22"/>
                <w:szCs w:val="22"/>
                <w:color w:val="auto"/>
              </w:rPr>
            </w:pPr>
          </w:p>
        </w:tc>
        <w:tc>
          <w:tcPr>
            <w:tcW w:w="172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9%</w:t>
            </w:r>
          </w:p>
        </w:tc>
      </w:tr>
      <w:tr>
        <w:trPr>
          <w:trHeight w:val="24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Dollar-Based Net Retention Rate (TTM)</w:t>
            </w:r>
          </w:p>
        </w:tc>
        <w:tc>
          <w:tcPr>
            <w:tcW w:w="104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99 %</w:t>
            </w:r>
          </w:p>
        </w:tc>
        <w:tc>
          <w:tcPr>
            <w:tcW w:w="132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114 %</w:t>
            </w:r>
          </w:p>
        </w:tc>
        <w:tc>
          <w:tcPr>
            <w:tcW w:w="1720" w:type="dxa"/>
            <w:vAlign w:val="bottom"/>
          </w:tcPr>
          <w:p>
            <w:pPr>
              <w:spacing w:after="0"/>
              <w:rPr>
                <w:sz w:val="21"/>
                <w:szCs w:val="21"/>
                <w:color w:val="auto"/>
              </w:rPr>
            </w:pPr>
          </w:p>
        </w:tc>
      </w:tr>
      <w:tr>
        <w:trPr>
          <w:trHeight w:val="263"/>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Paying Customers</w:t>
            </w:r>
          </w:p>
        </w:tc>
        <w:tc>
          <w:tcPr>
            <w:tcW w:w="104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30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280" w:type="dxa"/>
            <w:vAlign w:val="bottom"/>
            <w:shd w:val="clear" w:color="auto" w:fill="CFF0FC"/>
          </w:tcPr>
          <w:p>
            <w:pPr>
              <w:spacing w:after="0"/>
              <w:rPr>
                <w:sz w:val="22"/>
                <w:szCs w:val="22"/>
                <w:color w:val="auto"/>
              </w:rPr>
            </w:pPr>
          </w:p>
        </w:tc>
        <w:tc>
          <w:tcPr>
            <w:tcW w:w="172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rPr>
              <w:t>37%</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Recurring Revenue</w:t>
      </w:r>
    </w:p>
    <w:p>
      <w:pPr>
        <w:spacing w:after="0" w:line="121" w:lineRule="exact"/>
        <w:rPr>
          <w:sz w:val="20"/>
          <w:szCs w:val="20"/>
          <w:color w:val="auto"/>
        </w:rPr>
      </w:pPr>
    </w:p>
    <w:p>
      <w:pPr>
        <w:ind w:right="440" w:firstLine="509"/>
        <w:spacing w:after="0" w:line="281" w:lineRule="auto"/>
        <w:rPr>
          <w:sz w:val="20"/>
          <w:szCs w:val="20"/>
          <w:color w:val="auto"/>
        </w:rPr>
      </w:pPr>
      <w:r>
        <w:rPr>
          <w:rFonts w:ascii="Times New Roman" w:cs="Times New Roman" w:eastAsia="Times New Roman" w:hAnsi="Times New Roman"/>
          <w:sz w:val="18"/>
          <w:szCs w:val="18"/>
          <w:color w:val="auto"/>
        </w:rPr>
        <w:t>We define ARR as the annual recurring revenue of subscription agreements, including certain premium professional services that are subject to contractual subscription terms, at a point in time based on the terms of customers’ contracts. ARR should be viewed</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1" w:name="page22"/>
    <w:bookmarkEnd w:id="21"/>
    <w:p>
      <w:pPr>
        <w:ind w:right="480"/>
        <w:spacing w:after="0" w:line="281" w:lineRule="auto"/>
        <w:rPr>
          <w:sz w:val="20"/>
          <w:szCs w:val="20"/>
          <w:color w:val="auto"/>
        </w:rPr>
      </w:pPr>
      <w:r>
        <w:rPr>
          <w:rFonts w:ascii="Times New Roman" w:cs="Times New Roman" w:eastAsia="Times New Roman" w:hAnsi="Times New Roman"/>
          <w:sz w:val="18"/>
          <w:szCs w:val="18"/>
          <w:color w:val="auto"/>
        </w:rPr>
        <w:t>independently of revenue, and does not represent our U.S. GAAP revenue on an annualized basis, as it is an operating metric that can be impacted by contract start and end dates and renewal rates. ARR is also not intended to be a forecast of revenue.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Dollar-Based Net Retention Rate</w:t>
      </w:r>
    </w:p>
    <w:p>
      <w:pPr>
        <w:spacing w:after="0" w:line="121"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We calculate our dollar-based net retention rate to measure our ability to retain and expand ARR from our customers and believe it is an indicator of the value our platform delivers to customers and our future business opportunities. Our net retention rate compares our ARR from the same set of customers across comparable periods and reflects customer renewals, expansion, contraction, and attrition.</w:t>
      </w:r>
    </w:p>
    <w:p>
      <w:pPr>
        <w:spacing w:after="0" w:line="17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calculate dollar-based net retention rate as of a period-end by starting with the ARR from the cohort of all customers as of 12 months prior to such period-end (the “Prior Period ARR”). We then calculate the ARR from these same customers as of the current period-end (the “Current Period ARR”). Current Period ARR includes any expansion and is net of contraction or attrition over the last 12 months but excludes ARR from new customers as well as any overage charges in the current period. We then divide the total Current Period ARR by the total Prior Period ARR to arrive at the dollar-based net retention rate (“NRR”). We then calculate the weighted average of the trailing 12-month dollar-based net retention rates, to arrive at the dollar-based net retention rate (“NRR (TTM)”).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Paying Customers</w:t>
      </w:r>
    </w:p>
    <w:p>
      <w:pPr>
        <w:spacing w:after="0" w:line="121"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We believe our ability to grow the number of paying customers on our platform provides a key indicator of the demand for our platform, growth of our business, and our future business opportunities. Increasing awareness of our platform and its broad range of capabilities, coupled with the mainstream adoption of cloud-based technology, has expanded the diversity of our customer base to include organizations of different sizes across virtually all industries.</w:t>
      </w:r>
    </w:p>
    <w:p>
      <w:pPr>
        <w:spacing w:after="0" w:line="182"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For purposes of customer count, a customer is defined as an entity that has a unique Dunn &amp; Bradstreet Global Ultimate (“GULT”) Data Universal Numbering System (“DUNS”) number and an active subscription contract as of the measurement date. The DUNS number is a global standard for business identification and tracking. We make exceptions for holding companies, government entities, and other organizations for which the GULT, in our judgment, does not accurately represent the Amplitude customer or the DUNS does not exist.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following table presents certain non-GAAP financial measures, along with the most directly comparable U.S. GAAP measure, for each period presented below. In addition to our results determined in accordance with U.S. GAAP, we believe these non-GAAP financial measures are useful in evaluating our operating performance. See below for a description of the non-GAAP financial measures and their limitations as an analytical tool. A reconciliation is also provided below for each non-GAAP financial measure to the most directly comparable financial measure stated in accordance with U.S. GAAP.</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580" w:type="dxa"/>
            <w:vAlign w:val="bottom"/>
            <w:gridSpan w:val="3"/>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650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6500" w:type="dxa"/>
            <w:vAlign w:val="bottom"/>
          </w:tcPr>
          <w:p>
            <w:pPr>
              <w:spacing w:after="0"/>
              <w:rPr>
                <w:sz w:val="20"/>
                <w:szCs w:val="20"/>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500" w:type="dxa"/>
            <w:vAlign w:val="bottom"/>
          </w:tcPr>
          <w:p>
            <w:pPr>
              <w:spacing w:after="0"/>
              <w:rPr>
                <w:sz w:val="21"/>
                <w:szCs w:val="21"/>
                <w:color w:val="auto"/>
              </w:rPr>
            </w:pPr>
          </w:p>
        </w:tc>
        <w:tc>
          <w:tcPr>
            <w:tcW w:w="3860" w:type="dxa"/>
            <w:vAlign w:val="bottom"/>
            <w:gridSpan w:val="4"/>
          </w:tcPr>
          <w:p>
            <w:pPr>
              <w:jc w:val="center"/>
              <w:ind w:left="69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percentages)</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80" w:type="dxa"/>
            <w:vAlign w:val="bottom"/>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53,735</w:t>
            </w:r>
          </w:p>
        </w:tc>
        <w:tc>
          <w:tcPr>
            <w:tcW w:w="340" w:type="dxa"/>
            <w:vAlign w:val="bottom"/>
            <w:shd w:val="clear" w:color="auto" w:fill="CFF0FC"/>
          </w:tcPr>
          <w:p>
            <w:pPr>
              <w:spacing w:after="0"/>
              <w:rPr>
                <w:sz w:val="22"/>
                <w:szCs w:val="22"/>
                <w:color w:val="auto"/>
              </w:rPr>
            </w:pPr>
          </w:p>
        </w:tc>
        <w:tc>
          <w:tcPr>
            <w:tcW w:w="1540" w:type="dxa"/>
            <w:vAlign w:val="bottom"/>
            <w:shd w:val="clear" w:color="auto" w:fill="CFF0FC"/>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47,290</w:t>
            </w:r>
          </w:p>
        </w:tc>
        <w:tc>
          <w:tcPr>
            <w:tcW w:w="100" w:type="dxa"/>
            <w:vAlign w:val="bottom"/>
            <w:shd w:val="clear" w:color="auto" w:fill="CFF0FC"/>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Gross Profit</w:t>
            </w:r>
          </w:p>
        </w:tc>
        <w:tc>
          <w:tcPr>
            <w:tcW w:w="128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55,479</w:t>
            </w:r>
          </w:p>
        </w:tc>
        <w:tc>
          <w:tcPr>
            <w:tcW w:w="340" w:type="dxa"/>
            <w:vAlign w:val="bottom"/>
          </w:tcPr>
          <w:p>
            <w:pPr>
              <w:spacing w:after="0"/>
              <w:rPr>
                <w:sz w:val="21"/>
                <w:szCs w:val="21"/>
                <w:color w:val="auto"/>
              </w:rPr>
            </w:pPr>
          </w:p>
        </w:tc>
        <w:tc>
          <w:tcPr>
            <w:tcW w:w="15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512"/>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28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74 %</w:t>
            </w:r>
          </w:p>
        </w:tc>
        <w:tc>
          <w:tcPr>
            <w:tcW w:w="1540" w:type="dxa"/>
            <w:vAlign w:val="bottom"/>
          </w:tcPr>
          <w:p>
            <w:pPr>
              <w:spacing w:after="0"/>
              <w:rPr>
                <w:sz w:val="24"/>
                <w:szCs w:val="24"/>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71 %</w:t>
            </w:r>
          </w:p>
        </w:tc>
      </w:tr>
      <w:tr>
        <w:trPr>
          <w:trHeight w:val="25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Gross Margin</w:t>
            </w:r>
          </w:p>
        </w:tc>
        <w:tc>
          <w:tcPr>
            <w:tcW w:w="128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76 %</w:t>
            </w:r>
          </w:p>
        </w:tc>
        <w:tc>
          <w:tcPr>
            <w:tcW w:w="1540" w:type="dxa"/>
            <w:vAlign w:val="bottom"/>
          </w:tcPr>
          <w:p>
            <w:pPr>
              <w:spacing w:after="0"/>
              <w:rPr>
                <w:sz w:val="22"/>
                <w:szCs w:val="22"/>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74 %</w:t>
            </w:r>
          </w:p>
        </w:tc>
      </w:tr>
      <w:tr>
        <w:trPr>
          <w:trHeight w:val="270"/>
        </w:trPr>
        <w:tc>
          <w:tcPr>
            <w:tcW w:w="65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80" w:type="dxa"/>
            <w:vAlign w:val="bottom"/>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(24,705 )</w:t>
            </w:r>
          </w:p>
        </w:tc>
        <w:tc>
          <w:tcPr>
            <w:tcW w:w="1540" w:type="dxa"/>
            <w:vAlign w:val="bottom"/>
            <w:shd w:val="clear" w:color="auto" w:fill="CFF0FC"/>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(29,173 )</w:t>
            </w:r>
          </w:p>
        </w:tc>
        <w:tc>
          <w:tcPr>
            <w:tcW w:w="100" w:type="dxa"/>
            <w:vAlign w:val="bottom"/>
          </w:tcPr>
          <w:p>
            <w:pPr>
              <w:spacing w:after="0"/>
              <w:rPr>
                <w:sz w:val="22"/>
                <w:szCs w:val="22"/>
                <w:color w:val="auto"/>
              </w:rPr>
            </w:pPr>
          </w:p>
        </w:tc>
      </w:tr>
      <w:tr>
        <w:trPr>
          <w:trHeight w:val="24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Income (Loss) from Operations</w:t>
            </w:r>
          </w:p>
        </w:tc>
        <w:tc>
          <w:tcPr>
            <w:tcW w:w="128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(2,079 )</w:t>
            </w:r>
          </w:p>
        </w:tc>
        <w:tc>
          <w:tcPr>
            <w:tcW w:w="15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(7,897 )</w:t>
            </w:r>
          </w:p>
        </w:tc>
        <w:tc>
          <w:tcPr>
            <w:tcW w:w="100" w:type="dxa"/>
            <w:vAlign w:val="bottom"/>
          </w:tcPr>
          <w:p>
            <w:pPr>
              <w:spacing w:after="0"/>
              <w:rPr>
                <w:sz w:val="21"/>
                <w:szCs w:val="21"/>
                <w:color w:val="auto"/>
              </w:rPr>
            </w:pPr>
          </w:p>
        </w:tc>
      </w:tr>
      <w:tr>
        <w:trPr>
          <w:trHeight w:val="512"/>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 Margin</w:t>
            </w:r>
          </w:p>
        </w:tc>
        <w:tc>
          <w:tcPr>
            <w:tcW w:w="128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(34 )%</w:t>
            </w:r>
          </w:p>
        </w:tc>
        <w:tc>
          <w:tcPr>
            <w:tcW w:w="154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5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Income (Loss) from Operations Margin</w:t>
            </w:r>
          </w:p>
        </w:tc>
        <w:tc>
          <w:tcPr>
            <w:tcW w:w="128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(3 )%</w:t>
            </w:r>
          </w:p>
        </w:tc>
        <w:tc>
          <w:tcPr>
            <w:tcW w:w="154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70"/>
        </w:trPr>
        <w:tc>
          <w:tcPr>
            <w:tcW w:w="65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280" w:type="dxa"/>
            <w:vAlign w:val="bottom"/>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(48 )</w:t>
            </w:r>
          </w:p>
        </w:tc>
        <w:tc>
          <w:tcPr>
            <w:tcW w:w="1540" w:type="dxa"/>
            <w:vAlign w:val="bottom"/>
            <w:shd w:val="clear" w:color="auto" w:fill="CFF0FC"/>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(5,061 )</w:t>
            </w:r>
          </w:p>
        </w:tc>
        <w:tc>
          <w:tcPr>
            <w:tcW w:w="100" w:type="dxa"/>
            <w:vAlign w:val="bottom"/>
          </w:tcPr>
          <w:p>
            <w:pPr>
              <w:spacing w:after="0"/>
              <w:rPr>
                <w:sz w:val="22"/>
                <w:szCs w:val="22"/>
                <w:color w:val="auto"/>
              </w:rPr>
            </w:pPr>
          </w:p>
        </w:tc>
      </w:tr>
      <w:tr>
        <w:trPr>
          <w:trHeight w:val="24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28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(1,138 )</w:t>
            </w:r>
          </w:p>
        </w:tc>
        <w:tc>
          <w:tcPr>
            <w:tcW w:w="15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(5,838 )</w:t>
            </w:r>
          </w:p>
        </w:tc>
        <w:tc>
          <w:tcPr>
            <w:tcW w:w="100" w:type="dxa"/>
            <w:vAlign w:val="bottom"/>
          </w:tcPr>
          <w:p>
            <w:pPr>
              <w:spacing w:after="0"/>
              <w:rPr>
                <w:sz w:val="21"/>
                <w:szCs w:val="21"/>
                <w:color w:val="auto"/>
              </w:rPr>
            </w:pPr>
          </w:p>
        </w:tc>
      </w:tr>
      <w:tr>
        <w:trPr>
          <w:trHeight w:val="512"/>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 Margin</w:t>
            </w:r>
          </w:p>
        </w:tc>
        <w:tc>
          <w:tcPr>
            <w:tcW w:w="128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(0 )%</w:t>
            </w:r>
          </w:p>
        </w:tc>
        <w:tc>
          <w:tcPr>
            <w:tcW w:w="154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5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 Margin</w:t>
            </w:r>
          </w:p>
        </w:tc>
        <w:tc>
          <w:tcPr>
            <w:tcW w:w="128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(2 )%</w:t>
            </w:r>
          </w:p>
        </w:tc>
        <w:tc>
          <w:tcPr>
            <w:tcW w:w="154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-2268220</wp:posOffset>
            </wp:positionV>
            <wp:extent cx="7132320" cy="1625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-1292225</wp:posOffset>
            </wp:positionV>
            <wp:extent cx="7132320" cy="1625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1625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Non-GAAP Gross Profit, Non-GAAP Gross Margin, Non-GAAP Income (Loss) from Operations, and Non-GAAP Income (Loss) from Operations Margin</w:t>
      </w:r>
    </w:p>
    <w:p>
      <w:pPr>
        <w:spacing w:after="0" w:line="50" w:lineRule="exact"/>
        <w:rPr>
          <w:sz w:val="20"/>
          <w:szCs w:val="20"/>
          <w:color w:val="auto"/>
        </w:rPr>
      </w:pPr>
    </w:p>
    <w:p>
      <w:pPr>
        <w:ind w:right="340" w:firstLine="509"/>
        <w:spacing w:after="0" w:line="265" w:lineRule="auto"/>
        <w:rPr>
          <w:sz w:val="20"/>
          <w:szCs w:val="20"/>
          <w:color w:val="auto"/>
        </w:rPr>
      </w:pPr>
      <w:r>
        <w:rPr>
          <w:rFonts w:ascii="Times New Roman" w:cs="Times New Roman" w:eastAsia="Times New Roman" w:hAnsi="Times New Roman"/>
          <w:sz w:val="18"/>
          <w:szCs w:val="18"/>
          <w:color w:val="auto"/>
        </w:rPr>
        <w:t>We define non-GAAP gross profit and non-GAAP gross margin as U.S. GAAP gross profit and U.S. GAAP gross margin, respectively, excluding stock-based compensation expense and related employer payroll taxes, amortization of acquired intangible assets, and non-recurring costs such as restructuring and other related charges. Non-GAAP gross margin is calculated as non-GAAP gross profit divided by total revenue.</w:t>
      </w:r>
    </w:p>
    <w:p>
      <w:pPr>
        <w:spacing w:after="0" w:line="177" w:lineRule="exact"/>
        <w:rPr>
          <w:sz w:val="20"/>
          <w:szCs w:val="20"/>
          <w:color w:val="auto"/>
        </w:rPr>
      </w:pPr>
    </w:p>
    <w:p>
      <w:pPr>
        <w:ind w:right="440" w:firstLine="509"/>
        <w:spacing w:after="0" w:line="260" w:lineRule="auto"/>
        <w:rPr>
          <w:sz w:val="20"/>
          <w:szCs w:val="20"/>
          <w:color w:val="auto"/>
        </w:rPr>
      </w:pPr>
      <w:r>
        <w:rPr>
          <w:rFonts w:ascii="Times New Roman" w:cs="Times New Roman" w:eastAsia="Times New Roman" w:hAnsi="Times New Roman"/>
          <w:sz w:val="18"/>
          <w:szCs w:val="18"/>
          <w:color w:val="auto"/>
        </w:rPr>
        <w:t>We define non-GAAP income (loss) from operations and non-GAAP income (loss) from operations margin as U.S. GAAP income (loss) from operations and U.S. GAAP loss from operations margin, respectively, excluding stock-based compensation expense and related employer payroll taxes, amortization of acquired intangible assets, and non-recurring costs such as restructuring and other related charges. Non-GAAP income (loss) from operations margin is calculated as non-GAAP income (loss) from operations divided by total revenue.</w:t>
      </w:r>
    </w:p>
    <w:p>
      <w:pPr>
        <w:spacing w:after="0" w:line="182"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We exclude stock-based compensation expense and related employer payroll taxes, which is a non-cash expense, from certain of our non-GAAP financial measures because we believe that excluding this item provides meaningful supplemental information regarding operational performance. We exclude amortization of intangible assets, which is a non-cash expense, related to business combinations from certain of our non-GAAP financial measures because such expenses are related to business combinations and have no direct correlation to the operation of our business. Although we exclude these expenses from certain non-GAAP financial measures, the revenue from acquired companies subsequent to the date of acquisition is reflected in these measures and the acquired intangible assets contribute to our revenue generation. We exclude non-recurring costs from certain of our non-GAAP financial measures because such expenses do not repeat period over period and are not reflective of the ongoing operation of our business.</w:t>
      </w:r>
    </w:p>
    <w:p>
      <w:pPr>
        <w:spacing w:after="0" w:line="187" w:lineRule="exact"/>
        <w:rPr>
          <w:sz w:val="20"/>
          <w:szCs w:val="20"/>
          <w:color w:val="auto"/>
        </w:rPr>
      </w:pPr>
    </w:p>
    <w:p>
      <w:pPr>
        <w:ind w:right="320" w:firstLine="509"/>
        <w:spacing w:after="0" w:line="288" w:lineRule="auto"/>
        <w:rPr>
          <w:sz w:val="20"/>
          <w:szCs w:val="20"/>
          <w:color w:val="auto"/>
        </w:rPr>
      </w:pPr>
      <w:r>
        <w:rPr>
          <w:rFonts w:ascii="Times New Roman" w:cs="Times New Roman" w:eastAsia="Times New Roman" w:hAnsi="Times New Roman"/>
          <w:sz w:val="17"/>
          <w:szCs w:val="17"/>
          <w:color w:val="auto"/>
        </w:rPr>
        <w:t>We use non-GAAP gross margin and non-GAAP income (loss) from operations margin in conjunction with traditional U.S. GAAP measures to evaluate our financial performance. We believe that non-GAAP gross margin and non-GAAP income (loss) from operations margin provide our management and investors consistency and comparability with our past financial performance and facilitates period-to-period comparisons of operations.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 and Free Cash Flow Margin</w:t>
      </w:r>
    </w:p>
    <w:p>
      <w:pPr>
        <w:spacing w:after="0" w:line="121" w:lineRule="exact"/>
        <w:rPr>
          <w:sz w:val="20"/>
          <w:szCs w:val="20"/>
          <w:color w:val="auto"/>
        </w:rPr>
      </w:pPr>
    </w:p>
    <w:p>
      <w:pPr>
        <w:ind w:right="340" w:firstLine="509"/>
        <w:spacing w:after="0" w:line="260" w:lineRule="auto"/>
        <w:rPr>
          <w:sz w:val="20"/>
          <w:szCs w:val="20"/>
          <w:color w:val="auto"/>
        </w:rPr>
      </w:pPr>
      <w:r>
        <w:rPr>
          <w:rFonts w:ascii="Times New Roman" w:cs="Times New Roman" w:eastAsia="Times New Roman" w:hAnsi="Times New Roman"/>
          <w:sz w:val="18"/>
          <w:szCs w:val="18"/>
          <w:color w:val="auto"/>
        </w:rPr>
        <w:t>We define free cash flow as net cash provided by (used in) operating activities, less cash used for purchases of property and equipment and capitalized internal-use software costs. Free cash flow margin is calculated as free cash flow divided by total revenue. We believe that free cash flow and free cash flow margin are useful indicators of liquidity that provide information to management and investors, even if negative, about the amount of cash used in our operations other than that used for investments in property and equipment and capitalized internal-use software costs.</w:t>
      </w:r>
    </w:p>
    <w:p>
      <w:pPr>
        <w:spacing w:after="0" w:line="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94"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and Reconciliations of Non-GAAP Financial Measures</w:t>
      </w:r>
    </w:p>
    <w:p>
      <w:pPr>
        <w:spacing w:after="0" w:line="12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Non-GAAP financial measures are presented for supplemental informational purposes only. Non-GAAP financial measures have limitations as analytical tools and should not be considered in isolation or as substitutes for financial information presented under U.S. GAAP. There are a number of limitations related to the use of non-GAAP financial measures versus comparable financial measures determined under U.S. GAAP. For example, other companies in our industry may calculate these non-GAAP financial measures differently or may use other measures to evaluate their performance. In addition, free cash flow does not reflect our future contractual commitments and the total increase or decrease of our cash balance for a given period. All of these limitations could reduce the usefulness of these non-GAAP financial measures as analytical tools. Investors are encouraged to review the related U.S. GAAP financial measures and the reconciliations of these non-GAAP financial measures to their most directly comparable U.S. GAAP financial measures and to not rely on any single financial measure to evaluate our business.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reconcile the most directly comparable U.S. GAAP financial measure to each of these non-GAAP financial measures.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Gross Profit and Gross Margin</w:t>
            </w:r>
          </w:p>
        </w:tc>
        <w:tc>
          <w:tcPr>
            <w:tcW w:w="1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0"/>
        </w:trPr>
        <w:tc>
          <w:tcPr>
            <w:tcW w:w="6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60" w:type="dxa"/>
            <w:vAlign w:val="bottom"/>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5"/>
        </w:trPr>
        <w:tc>
          <w:tcPr>
            <w:tcW w:w="650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0"/>
        </w:trPr>
        <w:tc>
          <w:tcPr>
            <w:tcW w:w="6500" w:type="dxa"/>
            <w:vAlign w:val="bottom"/>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5"/>
        </w:trPr>
        <w:tc>
          <w:tcPr>
            <w:tcW w:w="6500" w:type="dxa"/>
            <w:vAlign w:val="bottom"/>
          </w:tcPr>
          <w:p>
            <w:pPr>
              <w:spacing w:after="0"/>
              <w:rPr>
                <w:sz w:val="21"/>
                <w:szCs w:val="21"/>
                <w:color w:val="auto"/>
              </w:rPr>
            </w:pPr>
          </w:p>
        </w:tc>
        <w:tc>
          <w:tcPr>
            <w:tcW w:w="3880" w:type="dxa"/>
            <w:vAlign w:val="bottom"/>
            <w:gridSpan w:val="4"/>
          </w:tcPr>
          <w:p>
            <w:pPr>
              <w:jc w:val="center"/>
              <w:ind w:left="67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percentages)</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3"/>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320" w:type="dxa"/>
            <w:vAlign w:val="bottom"/>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53,735</w:t>
            </w:r>
          </w:p>
        </w:tc>
        <w:tc>
          <w:tcPr>
            <w:tcW w:w="340" w:type="dxa"/>
            <w:vAlign w:val="bottom"/>
            <w:shd w:val="clear" w:color="auto" w:fill="CFF0FC"/>
          </w:tcPr>
          <w:p>
            <w:pPr>
              <w:spacing w:after="0"/>
              <w:rPr>
                <w:sz w:val="22"/>
                <w:szCs w:val="22"/>
                <w:color w:val="auto"/>
              </w:rPr>
            </w:pPr>
          </w:p>
        </w:tc>
        <w:tc>
          <w:tcPr>
            <w:tcW w:w="1560" w:type="dxa"/>
            <w:vAlign w:val="bottom"/>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47,290</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234"/>
        </w:trPr>
        <w:tc>
          <w:tcPr>
            <w:tcW w:w="6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Add:</w:t>
            </w:r>
          </w:p>
        </w:tc>
        <w:tc>
          <w:tcPr>
            <w:tcW w:w="1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
        </w:trPr>
        <w:tc>
          <w:tcPr>
            <w:tcW w:w="6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6"/>
        </w:trPr>
        <w:tc>
          <w:tcPr>
            <w:tcW w:w="6500" w:type="dxa"/>
            <w:vAlign w:val="bottom"/>
            <w:shd w:val="clear" w:color="auto" w:fill="CFF0FC"/>
          </w:tcPr>
          <w:p>
            <w:pPr>
              <w:ind w:left="20"/>
              <w:spacing w:after="0" w:line="256"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4"/>
                <w:szCs w:val="24"/>
                <w:color w:val="auto"/>
                <w:vertAlign w:val="superscript"/>
              </w:rPr>
              <w:t>(1)</w:t>
            </w:r>
          </w:p>
        </w:tc>
        <w:tc>
          <w:tcPr>
            <w:tcW w:w="1320" w:type="dxa"/>
            <w:vAlign w:val="bottom"/>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340" w:type="dxa"/>
            <w:vAlign w:val="bottom"/>
            <w:shd w:val="clear" w:color="auto" w:fill="CFF0FC"/>
          </w:tcPr>
          <w:p>
            <w:pPr>
              <w:spacing w:after="0"/>
              <w:rPr>
                <w:sz w:val="22"/>
                <w:szCs w:val="22"/>
                <w:color w:val="auto"/>
              </w:rPr>
            </w:pPr>
          </w:p>
        </w:tc>
        <w:tc>
          <w:tcPr>
            <w:tcW w:w="1560" w:type="dxa"/>
            <w:vAlign w:val="bottom"/>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24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intangible assets amortization</w:t>
            </w:r>
          </w:p>
        </w:tc>
        <w:tc>
          <w:tcPr>
            <w:tcW w:w="13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340" w:type="dxa"/>
            <w:vAlign w:val="bottom"/>
          </w:tcPr>
          <w:p>
            <w:pPr>
              <w:spacing w:after="0"/>
              <w:rPr>
                <w:sz w:val="21"/>
                <w:szCs w:val="21"/>
                <w:color w:val="auto"/>
              </w:rPr>
            </w:pPr>
          </w:p>
        </w:tc>
        <w:tc>
          <w:tcPr>
            <w:tcW w:w="15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3"/>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Non-GAAP Gross Profit</w:t>
            </w:r>
          </w:p>
        </w:tc>
        <w:tc>
          <w:tcPr>
            <w:tcW w:w="1320" w:type="dxa"/>
            <w:vAlign w:val="bottom"/>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55,479</w:t>
            </w:r>
          </w:p>
        </w:tc>
        <w:tc>
          <w:tcPr>
            <w:tcW w:w="340" w:type="dxa"/>
            <w:vAlign w:val="bottom"/>
            <w:shd w:val="clear" w:color="auto" w:fill="CFF0FC"/>
          </w:tcPr>
          <w:p>
            <w:pPr>
              <w:spacing w:after="0"/>
              <w:rPr>
                <w:sz w:val="22"/>
                <w:szCs w:val="22"/>
                <w:color w:val="auto"/>
              </w:rPr>
            </w:pPr>
          </w:p>
        </w:tc>
        <w:tc>
          <w:tcPr>
            <w:tcW w:w="1560" w:type="dxa"/>
            <w:vAlign w:val="bottom"/>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49,504</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Gross Margin</w:t>
            </w:r>
          </w:p>
        </w:tc>
        <w:tc>
          <w:tcPr>
            <w:tcW w:w="132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76 %</w:t>
            </w:r>
          </w:p>
        </w:tc>
        <w:tc>
          <w:tcPr>
            <w:tcW w:w="156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74 %</w:t>
            </w:r>
          </w:p>
        </w:tc>
      </w:tr>
    </w:tbl>
    <w:p>
      <w:pPr>
        <w:spacing w:after="0" w:line="153" w:lineRule="exact"/>
        <w:rPr>
          <w:sz w:val="20"/>
          <w:szCs w:val="20"/>
          <w:color w:val="auto"/>
        </w:rPr>
      </w:pPr>
    </w:p>
    <w:p>
      <w:pPr>
        <w:ind w:left="500" w:hanging="373"/>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expense-related charges include employer payroll tax-related expenses on employee stock transactions.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Income (Loss) From Operations and Income (Loss) From Operations Margin</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0"/>
        </w:trPr>
        <w:tc>
          <w:tcPr>
            <w:tcW w:w="6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gridSpan w:val="3"/>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650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6500" w:type="dxa"/>
            <w:vAlign w:val="bottom"/>
          </w:tcPr>
          <w:p>
            <w:pPr>
              <w:spacing w:after="0"/>
              <w:rPr>
                <w:sz w:val="20"/>
                <w:szCs w:val="20"/>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500" w:type="dxa"/>
            <w:vAlign w:val="bottom"/>
          </w:tcPr>
          <w:p>
            <w:pPr>
              <w:spacing w:after="0"/>
              <w:rPr>
                <w:sz w:val="21"/>
                <w:szCs w:val="21"/>
                <w:color w:val="auto"/>
              </w:rPr>
            </w:pPr>
          </w:p>
        </w:tc>
        <w:tc>
          <w:tcPr>
            <w:tcW w:w="3860" w:type="dxa"/>
            <w:vAlign w:val="bottom"/>
            <w:gridSpan w:val="4"/>
          </w:tcPr>
          <w:p>
            <w:pPr>
              <w:jc w:val="center"/>
              <w:ind w:left="69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percentages)</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80" w:type="dxa"/>
            <w:vAlign w:val="bottom"/>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(24,705 )</w:t>
            </w:r>
          </w:p>
        </w:tc>
        <w:tc>
          <w:tcPr>
            <w:tcW w:w="1540" w:type="dxa"/>
            <w:vAlign w:val="bottom"/>
            <w:shd w:val="clear" w:color="auto" w:fill="CFF0FC"/>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(29,173 )</w:t>
            </w:r>
          </w:p>
        </w:tc>
        <w:tc>
          <w:tcPr>
            <w:tcW w:w="100" w:type="dxa"/>
            <w:vAlign w:val="bottom"/>
          </w:tcPr>
          <w:p>
            <w:pPr>
              <w:spacing w:after="0"/>
              <w:rPr>
                <w:sz w:val="22"/>
                <w:szCs w:val="22"/>
                <w:color w:val="auto"/>
              </w:rPr>
            </w:pPr>
          </w:p>
        </w:tc>
      </w:tr>
      <w:tr>
        <w:trPr>
          <w:trHeight w:val="234"/>
        </w:trPr>
        <w:tc>
          <w:tcPr>
            <w:tcW w:w="6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Add:</w:t>
            </w: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
        </w:trPr>
        <w:tc>
          <w:tcPr>
            <w:tcW w:w="6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6500" w:type="dxa"/>
            <w:vAlign w:val="bottom"/>
            <w:shd w:val="clear" w:color="auto" w:fill="CFF0FC"/>
          </w:tcPr>
          <w:p>
            <w:pPr>
              <w:ind w:left="20"/>
              <w:spacing w:after="0" w:line="256"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4"/>
                <w:szCs w:val="24"/>
                <w:color w:val="auto"/>
                <w:vertAlign w:val="superscript"/>
              </w:rPr>
              <w:t>(1)</w:t>
            </w:r>
          </w:p>
        </w:tc>
        <w:tc>
          <w:tcPr>
            <w:tcW w:w="1280" w:type="dxa"/>
            <w:vAlign w:val="bottom"/>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22,313</w:t>
            </w:r>
          </w:p>
        </w:tc>
        <w:tc>
          <w:tcPr>
            <w:tcW w:w="340" w:type="dxa"/>
            <w:vAlign w:val="bottom"/>
            <w:shd w:val="clear" w:color="auto" w:fill="CFF0FC"/>
          </w:tcPr>
          <w:p>
            <w:pPr>
              <w:spacing w:after="0"/>
              <w:rPr>
                <w:sz w:val="22"/>
                <w:szCs w:val="22"/>
                <w:color w:val="auto"/>
              </w:rPr>
            </w:pPr>
          </w:p>
        </w:tc>
        <w:tc>
          <w:tcPr>
            <w:tcW w:w="1540" w:type="dxa"/>
            <w:vAlign w:val="bottom"/>
            <w:shd w:val="clear" w:color="auto" w:fill="CFF0FC"/>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20,854</w:t>
            </w:r>
          </w:p>
        </w:tc>
        <w:tc>
          <w:tcPr>
            <w:tcW w:w="100" w:type="dxa"/>
            <w:vAlign w:val="bottom"/>
            <w:shd w:val="clear" w:color="auto" w:fill="CFF0FC"/>
          </w:tcPr>
          <w:p>
            <w:pPr>
              <w:spacing w:after="0"/>
              <w:rPr>
                <w:sz w:val="22"/>
                <w:szCs w:val="22"/>
                <w:color w:val="auto"/>
              </w:rPr>
            </w:pPr>
          </w:p>
        </w:tc>
        <w:tc>
          <w:tcPr>
            <w:tcW w:w="100" w:type="dxa"/>
            <w:vAlign w:val="bottom"/>
          </w:tcPr>
          <w:p>
            <w:pPr>
              <w:spacing w:after="0"/>
              <w:rPr>
                <w:sz w:val="22"/>
                <w:szCs w:val="22"/>
                <w:color w:val="auto"/>
              </w:rPr>
            </w:pPr>
          </w:p>
        </w:tc>
      </w:tr>
      <w:tr>
        <w:trPr>
          <w:trHeight w:val="24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intangible assets amortization</w:t>
            </w:r>
          </w:p>
        </w:tc>
        <w:tc>
          <w:tcPr>
            <w:tcW w:w="128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340" w:type="dxa"/>
            <w:vAlign w:val="bottom"/>
          </w:tcPr>
          <w:p>
            <w:pPr>
              <w:spacing w:after="0"/>
              <w:rPr>
                <w:sz w:val="21"/>
                <w:szCs w:val="21"/>
                <w:color w:val="auto"/>
              </w:rPr>
            </w:pPr>
          </w:p>
        </w:tc>
        <w:tc>
          <w:tcPr>
            <w:tcW w:w="15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Non-GAAP Income (Loss) from Operations</w:t>
            </w:r>
          </w:p>
        </w:tc>
        <w:tc>
          <w:tcPr>
            <w:tcW w:w="1280" w:type="dxa"/>
            <w:vAlign w:val="bottom"/>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(2,079 )</w:t>
            </w:r>
          </w:p>
        </w:tc>
        <w:tc>
          <w:tcPr>
            <w:tcW w:w="1540" w:type="dxa"/>
            <w:vAlign w:val="bottom"/>
            <w:shd w:val="clear" w:color="auto" w:fill="CFF0FC"/>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(7,897 )</w:t>
            </w:r>
          </w:p>
        </w:tc>
        <w:tc>
          <w:tcPr>
            <w:tcW w:w="100" w:type="dxa"/>
            <w:vAlign w:val="bottom"/>
          </w:tcPr>
          <w:p>
            <w:pPr>
              <w:spacing w:after="0"/>
              <w:rPr>
                <w:sz w:val="22"/>
                <w:szCs w:val="22"/>
                <w:color w:val="auto"/>
              </w:rPr>
            </w:pPr>
          </w:p>
        </w:tc>
      </w:tr>
      <w:tr>
        <w:trPr>
          <w:trHeight w:val="24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Income (Loss) from Operations Margin</w:t>
            </w:r>
          </w:p>
        </w:tc>
        <w:tc>
          <w:tcPr>
            <w:tcW w:w="128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(3 )%</w:t>
            </w:r>
          </w:p>
        </w:tc>
        <w:tc>
          <w:tcPr>
            <w:tcW w:w="154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8559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173"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expense-related charges include employer payroll tax-related expenses on employee stock transactions.</w:t>
      </w:r>
    </w:p>
    <w:p>
      <w:pPr>
        <w:spacing w:after="0" w:line="10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04"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 and Free Cash Flow Margin</w:t>
            </w:r>
          </w:p>
        </w:tc>
        <w:tc>
          <w:tcPr>
            <w:tcW w:w="1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0"/>
        </w:trPr>
        <w:tc>
          <w:tcPr>
            <w:tcW w:w="6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8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650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6500" w:type="dxa"/>
            <w:vAlign w:val="bottom"/>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500" w:type="dxa"/>
            <w:vAlign w:val="bottom"/>
          </w:tcPr>
          <w:p>
            <w:pPr>
              <w:spacing w:after="0"/>
              <w:rPr>
                <w:sz w:val="21"/>
                <w:szCs w:val="21"/>
                <w:color w:val="auto"/>
              </w:rPr>
            </w:pPr>
          </w:p>
        </w:tc>
        <w:tc>
          <w:tcPr>
            <w:tcW w:w="3900" w:type="dxa"/>
            <w:vAlign w:val="bottom"/>
            <w:gridSpan w:val="4"/>
          </w:tcPr>
          <w:p>
            <w:pPr>
              <w:jc w:val="center"/>
              <w:ind w:left="65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percentages)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320" w:type="dxa"/>
            <w:vAlign w:val="bottom"/>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23,058</w:t>
            </w:r>
          </w:p>
        </w:tc>
        <w:tc>
          <w:tcPr>
            <w:tcW w:w="340" w:type="dxa"/>
            <w:vAlign w:val="bottom"/>
            <w:shd w:val="clear" w:color="auto" w:fill="CFF0FC"/>
          </w:tcPr>
          <w:p>
            <w:pPr>
              <w:spacing w:after="0"/>
              <w:rPr>
                <w:sz w:val="22"/>
                <w:szCs w:val="22"/>
                <w:color w:val="auto"/>
              </w:rPr>
            </w:pPr>
          </w:p>
        </w:tc>
        <w:tc>
          <w:tcPr>
            <w:tcW w:w="1580" w:type="dxa"/>
            <w:vAlign w:val="bottom"/>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(777 )</w:t>
            </w:r>
          </w:p>
        </w:tc>
      </w:tr>
      <w:tr>
        <w:trPr>
          <w:trHeight w:val="24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320" w:type="dxa"/>
            <w:vAlign w:val="bottom"/>
          </w:tcPr>
          <w:p>
            <w:pPr>
              <w:spacing w:after="0"/>
              <w:rPr>
                <w:sz w:val="21"/>
                <w:szCs w:val="21"/>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(5,793 )</w:t>
            </w:r>
          </w:p>
        </w:tc>
        <w:tc>
          <w:tcPr>
            <w:tcW w:w="15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Pr>
          <w:p>
            <w:pPr>
              <w:spacing w:after="0"/>
              <w:rPr>
                <w:sz w:val="21"/>
                <w:szCs w:val="21"/>
                <w:color w:val="auto"/>
              </w:rPr>
            </w:pPr>
          </w:p>
        </w:tc>
      </w:tr>
      <w:tr>
        <w:trPr>
          <w:trHeight w:val="263"/>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32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(48 )</w:t>
            </w:r>
          </w:p>
        </w:tc>
        <w:tc>
          <w:tcPr>
            <w:tcW w:w="158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(5,061 )</w:t>
            </w:r>
          </w:p>
        </w:tc>
      </w:tr>
      <w:tr>
        <w:trPr>
          <w:trHeight w:val="234"/>
        </w:trPr>
        <w:tc>
          <w:tcPr>
            <w:tcW w:w="6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Less:</w:t>
            </w:r>
          </w:p>
        </w:tc>
        <w:tc>
          <w:tcPr>
            <w:tcW w:w="1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
        </w:trPr>
        <w:tc>
          <w:tcPr>
            <w:tcW w:w="6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320" w:type="dxa"/>
            <w:vAlign w:val="bottom"/>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(357 )</w:t>
            </w:r>
          </w:p>
        </w:tc>
        <w:tc>
          <w:tcPr>
            <w:tcW w:w="1580" w:type="dxa"/>
            <w:vAlign w:val="bottom"/>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(329 )</w:t>
            </w:r>
          </w:p>
        </w:tc>
      </w:tr>
      <w:tr>
        <w:trPr>
          <w:trHeight w:val="24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 of internal-use software costs</w:t>
            </w:r>
          </w:p>
        </w:tc>
        <w:tc>
          <w:tcPr>
            <w:tcW w:w="13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(733 )</w:t>
            </w:r>
          </w:p>
        </w:tc>
        <w:tc>
          <w:tcPr>
            <w:tcW w:w="158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(448 )</w:t>
            </w:r>
          </w:p>
        </w:tc>
      </w:tr>
      <w:tr>
        <w:trPr>
          <w:trHeight w:val="263"/>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320" w:type="dxa"/>
            <w:vAlign w:val="bottom"/>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(1,138 )</w:t>
            </w:r>
          </w:p>
        </w:tc>
        <w:tc>
          <w:tcPr>
            <w:tcW w:w="1580" w:type="dxa"/>
            <w:vAlign w:val="bottom"/>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(5,838 )</w:t>
            </w: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 Margin</w:t>
            </w:r>
          </w:p>
        </w:tc>
        <w:tc>
          <w:tcPr>
            <w:tcW w:w="482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200" w:firstLine="509"/>
        <w:spacing w:after="0" w:line="260" w:lineRule="auto"/>
        <w:rPr>
          <w:sz w:val="20"/>
          <w:szCs w:val="20"/>
          <w:color w:val="auto"/>
        </w:rPr>
      </w:pPr>
      <w:r>
        <w:rPr>
          <w:rFonts w:ascii="Times New Roman" w:cs="Times New Roman" w:eastAsia="Times New Roman" w:hAnsi="Times New Roman"/>
          <w:sz w:val="18"/>
          <w:szCs w:val="18"/>
          <w:color w:val="auto"/>
        </w:rPr>
        <w:t>We generate revenue primarily from sales of subscription services for customers to access our platform. Revenue is driven primarily by the number of paying customers and the level of subscription plan. We generally recognize revenue ratably over the related contractual term beginning on the date that the platform is made available to a customer. Revenue from professional services have primarily been attributed to implementation and training services. We recognize professional services revenue as services are delivered.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320" w:firstLine="509"/>
        <w:spacing w:after="0" w:line="288" w:lineRule="auto"/>
        <w:rPr>
          <w:sz w:val="20"/>
          <w:szCs w:val="20"/>
          <w:color w:val="auto"/>
        </w:rPr>
      </w:pPr>
      <w:r>
        <w:rPr>
          <w:rFonts w:ascii="Times New Roman" w:cs="Times New Roman" w:eastAsia="Times New Roman" w:hAnsi="Times New Roman"/>
          <w:sz w:val="17"/>
          <w:szCs w:val="17"/>
          <w:color w:val="auto"/>
        </w:rPr>
        <w:t>Cost of revenue consists primarily of the cost of providing our platform to our customers and consists of third-party hosting fees, personnel and related expenses for our operations and support personnel, and amortization of our capitalized internal-use software and acquired developed software. As we acquire new customers and existing customers increase their use of our platform, we expect that our cost of revenue will increase in dollar amount.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21" w:lineRule="exact"/>
        <w:rPr>
          <w:sz w:val="20"/>
          <w:szCs w:val="20"/>
          <w:color w:val="auto"/>
        </w:rPr>
      </w:pPr>
    </w:p>
    <w:p>
      <w:pPr>
        <w:jc w:val="both"/>
        <w:ind w:right="240" w:firstLine="509"/>
        <w:spacing w:after="0" w:line="280" w:lineRule="auto"/>
        <w:rPr>
          <w:sz w:val="20"/>
          <w:szCs w:val="20"/>
          <w:color w:val="auto"/>
        </w:rPr>
      </w:pPr>
      <w:r>
        <w:rPr>
          <w:rFonts w:ascii="Times New Roman" w:cs="Times New Roman" w:eastAsia="Times New Roman" w:hAnsi="Times New Roman"/>
          <w:sz w:val="17"/>
          <w:szCs w:val="17"/>
          <w:color w:val="auto"/>
        </w:rPr>
        <w:t>Gross profit, or revenue less cost of revenue, and gross margin, or gross profit as a percentage of revenue, has been and will continue to be affected by various factors, including the timing of our acquisition of new customers, renewals of, and follow-on sales to, existing customers, costs associated with operating our platform, and the extent to which we expand our operations and customer support organizations. In the long term, we expect our gross profit to increase in dollar amount and our gross margin to improve as we optimize our system performance and leverage ingested data for new products.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300" w:firstLine="509"/>
        <w:spacing w:after="0" w:line="25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Personnel and related expenses are the most significant component of operating expenses and consist of salaries, benefits, bonuses, stock-based compensation expense, and, in the case of sales and marketing expenses, sales commissions. Operating expenses also include an allocation of overhead costs for facilities and shared IT-related expenses. As we invest in our business, we expect our operating expenses to increase in dollar amount, and although we believe our operating expenses as a percentage of revenue will decrease over the longer term, operating expenses as a percentage of revenue could increase in the short term as we invest in product innovation and sales growth.</w:t>
      </w:r>
    </w:p>
    <w:p>
      <w:pPr>
        <w:spacing w:after="0" w:line="7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04"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and related expenses. These expenses also include product design costs prior to the application development stage, third-party services and consulting expenses, software subscriptions, and allocated overhead costs for overhead used in research and development activities. A substantial portion of our research and development efforts are focused on enhancing our software, including researching ways to add new features and functionality to our platform. Although there have been recent cost savings due to our restructuring, we anticipate continuing to invest in innovation and technology development, and as a result, we expect research and development expenses to increase in dollar amount but to decrease as a percentage of revenue over the longer term, though the percentage may fluctuate from quarter to quarter depending on the extent and timing of product development initiatives. In the short term, research and development costs could increase as a percentage of revenue.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 and related expenses and expenses for performance marketing and lead generation, and brand marketing. These expenses also include allocated overhead costs and travel-related expenses. Sales commissions earned by our sales force that are considered incremental and recoverable costs of obtaining a subscription with a customer are deferred and amortized on a straight-line basis over the expected period of benefit of five years.</w:t>
      </w:r>
    </w:p>
    <w:p>
      <w:pPr>
        <w:spacing w:after="0" w:line="18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continue to make strategic investments in our sales and marketing organization, and we expect sales and marketing expenses to remain our largest operating expense in dollar amount. Although there have been recent cost savings due to our restructuring, we expect our sales and marketing expenses to continue to increase in dollar amount but to decrease as a percentage of revenue over the longer term, though the percentage may fluctuate from quarter to quarter depending on the extent and timing of our marketing initiatives. In the short term, sales and marketing costs could increase as a percentage of revenue.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and related expenses for our finance, human resources, information technology, and legal organizations. These expenses also include non-personnel costs, such as outside legal, accounting, and other professional fees, software subscriptions, as well as certain tax, license, and insurance-related expenses, and allocated overhead costs.</w:t>
      </w:r>
    </w:p>
    <w:p>
      <w:pPr>
        <w:spacing w:after="0" w:line="177"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7"/>
          <w:szCs w:val="17"/>
          <w:color w:val="auto"/>
        </w:rPr>
        <w:t>We have also incurred certain expenses as part of operating as a publicly-traded company, including professional fees and other expenses. We expect to continue to incur additional expenses as a result of operating as a public company, including costs to comply with the rules and regulations applicable to companies listed on the Nasdaq Capital Market LLC and costs related to compliance and reporting obligations pursuant to the rules and regulations of the Securities and Exchange Commission. In addition, as a public company, we incur additional costs associated with accounting, compliance, insurance, and investor relations. Although there have been recent cost savings due to our restructuring, we expect our general and administrative expenses to continue to increase in dollar amount over time but to generally decrease as a percentage of our revenue over the longer term, though the percentage may fluctuate from period to period depending on the timing and amount of our general and administrative expenses, including in the short term.</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420" w:firstLine="509"/>
        <w:spacing w:after="0" w:line="281" w:lineRule="auto"/>
        <w:rPr>
          <w:sz w:val="20"/>
          <w:szCs w:val="20"/>
          <w:color w:val="auto"/>
        </w:rPr>
      </w:pPr>
      <w:r>
        <w:rPr>
          <w:rFonts w:ascii="Times New Roman" w:cs="Times New Roman" w:eastAsia="Times New Roman" w:hAnsi="Times New Roman"/>
          <w:sz w:val="18"/>
          <w:szCs w:val="18"/>
          <w:color w:val="auto"/>
        </w:rPr>
        <w:t>Other income (expense), net consists primarily of interest income on our cash, cash equivalents, and marketable securities holdings and foreign currency transaction gains and losses.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Provision for (benefit from) income taxes consists primarily of income taxes in certain foreign jurisdictions in which we conduct business. To date, we have not recorded any U.S. federal income tax expense, and our state and foreign income tax expenses have not been material. We have recorded deferred tax assets for U.S. federal income taxes for which we provide a full valuation allowance. These deferred tax assets primarily include net operating loss carryforwards of $434.5 million and tax credit carryforwards of $13.0 million, net of reserves as of December 31, 2023, which begin expiring in 2032 and 2033, respectively. We expect to maintain this full valuation allowance in U.S. jurisdictions for the foreseeable future as it is not more likely than not the deferred tax assets will be realized based on our history of losses.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our revenue for those periods. The period-to-period comparison of financial results is not necessarily indicative of financial results to be achieved in future periods.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650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6500" w:type="dxa"/>
            <w:vAlign w:val="bottom"/>
          </w:tcPr>
          <w:p>
            <w:pPr>
              <w:spacing w:after="0"/>
              <w:rPr>
                <w:sz w:val="20"/>
                <w:szCs w:val="20"/>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6"/>
        </w:trPr>
        <w:tc>
          <w:tcPr>
            <w:tcW w:w="6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w:t>
            </w:r>
          </w:p>
        </w:tc>
        <w:tc>
          <w:tcPr>
            <w:tcW w:w="12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i w:val="1"/>
                <w:iCs w:val="1"/>
                <w:color w:val="auto"/>
              </w:rPr>
              <w:t>thousands)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80" w:type="dxa"/>
            <w:vAlign w:val="bottom"/>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72,624</w:t>
            </w:r>
          </w:p>
        </w:tc>
        <w:tc>
          <w:tcPr>
            <w:tcW w:w="3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66,477</w:t>
            </w:r>
          </w:p>
        </w:tc>
        <w:tc>
          <w:tcPr>
            <w:tcW w:w="100" w:type="dxa"/>
            <w:vAlign w:val="bottom"/>
            <w:shd w:val="clear" w:color="auto" w:fill="CFF0FC"/>
          </w:tcPr>
          <w:p>
            <w:pPr>
              <w:spacing w:after="0"/>
              <w:rPr>
                <w:sz w:val="21"/>
                <w:szCs w:val="21"/>
                <w:color w:val="auto"/>
              </w:rPr>
            </w:pPr>
          </w:p>
        </w:tc>
      </w:tr>
      <w:tr>
        <w:trPr>
          <w:trHeight w:val="243"/>
        </w:trPr>
        <w:tc>
          <w:tcPr>
            <w:tcW w:w="65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4"/>
                <w:szCs w:val="24"/>
                <w:color w:val="auto"/>
                <w:vertAlign w:val="superscript"/>
              </w:rPr>
              <w:t>(1)</w:t>
            </w:r>
          </w:p>
        </w:tc>
        <w:tc>
          <w:tcPr>
            <w:tcW w:w="1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18,889</w:t>
            </w:r>
          </w:p>
        </w:tc>
        <w:tc>
          <w:tcPr>
            <w:tcW w:w="34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19,187</w:t>
            </w:r>
          </w:p>
        </w:tc>
        <w:tc>
          <w:tcPr>
            <w:tcW w:w="100" w:type="dxa"/>
            <w:vAlign w:val="bottom"/>
          </w:tcPr>
          <w:p>
            <w:pPr>
              <w:spacing w:after="0"/>
              <w:rPr>
                <w:sz w:val="21"/>
                <w:szCs w:val="21"/>
                <w:color w:val="auto"/>
              </w:rPr>
            </w:pPr>
          </w:p>
        </w:tc>
      </w:tr>
      <w:tr>
        <w:trPr>
          <w:trHeight w:val="232"/>
        </w:trPr>
        <w:tc>
          <w:tcPr>
            <w:tcW w:w="6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53,735</w:t>
            </w:r>
          </w:p>
        </w:tc>
        <w:tc>
          <w:tcPr>
            <w:tcW w:w="34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47,290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500" w:type="dxa"/>
            <w:vAlign w:val="bottom"/>
            <w:shd w:val="clear" w:color="auto" w:fill="CFF0FC"/>
          </w:tcPr>
          <w:p>
            <w:pPr>
              <w:ind w:left="200"/>
              <w:spacing w:after="0" w:line="247"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4"/>
                <w:szCs w:val="24"/>
                <w:color w:val="auto"/>
                <w:vertAlign w:val="superscript"/>
              </w:rPr>
              <w:t>(1)</w:t>
            </w:r>
          </w:p>
        </w:tc>
        <w:tc>
          <w:tcPr>
            <w:tcW w:w="12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22,953</w:t>
            </w:r>
          </w:p>
        </w:tc>
        <w:tc>
          <w:tcPr>
            <w:tcW w:w="3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23,708</w:t>
            </w:r>
          </w:p>
        </w:tc>
        <w:tc>
          <w:tcPr>
            <w:tcW w:w="100" w:type="dxa"/>
            <w:vAlign w:val="bottom"/>
            <w:shd w:val="clear" w:color="auto" w:fill="CFF0FC"/>
          </w:tcPr>
          <w:p>
            <w:pPr>
              <w:spacing w:after="0"/>
              <w:rPr>
                <w:sz w:val="21"/>
                <w:szCs w:val="21"/>
                <w:color w:val="auto"/>
              </w:rPr>
            </w:pPr>
          </w:p>
        </w:tc>
      </w:tr>
      <w:tr>
        <w:trPr>
          <w:trHeight w:val="243"/>
        </w:trPr>
        <w:tc>
          <w:tcPr>
            <w:tcW w:w="650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4"/>
                <w:szCs w:val="24"/>
                <w:color w:val="auto"/>
                <w:vertAlign w:val="superscript"/>
              </w:rPr>
              <w:t>(1)</w:t>
            </w:r>
          </w:p>
        </w:tc>
        <w:tc>
          <w:tcPr>
            <w:tcW w:w="1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40,817</w:t>
            </w: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39,133</w:t>
            </w:r>
          </w:p>
        </w:tc>
        <w:tc>
          <w:tcPr>
            <w:tcW w:w="100" w:type="dxa"/>
            <w:vAlign w:val="bottom"/>
          </w:tcPr>
          <w:p>
            <w:pPr>
              <w:spacing w:after="0"/>
              <w:rPr>
                <w:sz w:val="21"/>
                <w:szCs w:val="21"/>
                <w:color w:val="auto"/>
              </w:rPr>
            </w:pPr>
          </w:p>
        </w:tc>
      </w:tr>
      <w:tr>
        <w:trPr>
          <w:trHeight w:val="243"/>
        </w:trPr>
        <w:tc>
          <w:tcPr>
            <w:tcW w:w="6500" w:type="dxa"/>
            <w:vAlign w:val="bottom"/>
            <w:tcBorders>
              <w:bottom w:val="single" w:sz="8" w:color="CFF0FC"/>
            </w:tcBorders>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4"/>
                <w:szCs w:val="24"/>
                <w:color w:val="auto"/>
                <w:vertAlign w:val="superscript"/>
              </w:rPr>
              <w:t>(1)</w:t>
            </w:r>
          </w:p>
        </w:tc>
        <w:tc>
          <w:tcPr>
            <w:tcW w:w="128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14,670</w:t>
            </w:r>
          </w:p>
        </w:tc>
        <w:tc>
          <w:tcPr>
            <w:tcW w:w="3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78,440</w:t>
            </w:r>
          </w:p>
        </w:tc>
        <w:tc>
          <w:tcPr>
            <w:tcW w:w="3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76,463</w:t>
            </w:r>
          </w:p>
        </w:tc>
        <w:tc>
          <w:tcPr>
            <w:tcW w:w="100" w:type="dxa"/>
            <w:vAlign w:val="bottom"/>
          </w:tcPr>
          <w:p>
            <w:pPr>
              <w:spacing w:after="0"/>
              <w:rPr>
                <w:sz w:val="20"/>
                <w:szCs w:val="20"/>
                <w:color w:val="auto"/>
              </w:rPr>
            </w:pPr>
          </w:p>
        </w:tc>
      </w:tr>
      <w:tr>
        <w:trPr>
          <w:trHeight w:val="240"/>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(24,705 )</w:t>
            </w:r>
          </w:p>
        </w:tc>
        <w:tc>
          <w:tcPr>
            <w:tcW w:w="90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(29,173 )</w:t>
            </w:r>
          </w:p>
        </w:tc>
      </w:tr>
      <w:tr>
        <w:trPr>
          <w:trHeight w:val="238"/>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3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tcPr>
          <w:p>
            <w:pPr>
              <w:spacing w:after="0"/>
              <w:rPr>
                <w:sz w:val="20"/>
                <w:szCs w:val="20"/>
                <w:color w:val="auto"/>
              </w:rPr>
            </w:pPr>
          </w:p>
        </w:tc>
      </w:tr>
      <w:tr>
        <w:trPr>
          <w:trHeight w:val="240"/>
        </w:trPr>
        <w:tc>
          <w:tcPr>
            <w:tcW w:w="65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Loss before provision for (benefit from) income taxes</w:t>
            </w:r>
          </w:p>
        </w:tc>
        <w:tc>
          <w:tcPr>
            <w:tcW w:w="12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(21,034 )</w:t>
            </w:r>
          </w:p>
        </w:tc>
        <w:tc>
          <w:tcPr>
            <w:tcW w:w="90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(26,035 )</w:t>
            </w:r>
          </w:p>
        </w:tc>
      </w:tr>
      <w:tr>
        <w:trPr>
          <w:trHeight w:val="238"/>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3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20"/>
                <w:szCs w:val="20"/>
                <w:color w:val="auto"/>
              </w:rPr>
            </w:pPr>
          </w:p>
        </w:tc>
      </w:tr>
      <w:tr>
        <w:trPr>
          <w:trHeight w:val="240"/>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(21,460 )</w:t>
            </w: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(26,315 )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-1583690</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-1583690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-958215</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-958215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ind w:left="380" w:hanging="372"/>
        <w:spacing w:after="0"/>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stock-based compensation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8559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0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650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6500" w:type="dxa"/>
            <w:vAlign w:val="bottom"/>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45"/>
        </w:trPr>
        <w:tc>
          <w:tcPr>
            <w:tcW w:w="65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90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320" w:type="dxa"/>
            <w:vAlign w:val="bottom"/>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240" w:type="dxa"/>
            <w:vAlign w:val="bottom"/>
            <w:gridSpan w:val="2"/>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shd w:val="clear" w:color="auto" w:fill="CFF0FC"/>
          </w:tcPr>
          <w:p>
            <w:pPr>
              <w:spacing w:after="0"/>
              <w:rPr>
                <w:sz w:val="22"/>
                <w:szCs w:val="22"/>
                <w:color w:val="auto"/>
              </w:rPr>
            </w:pPr>
          </w:p>
        </w:tc>
      </w:tr>
      <w:tr>
        <w:trPr>
          <w:trHeight w:val="24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8,579</w:t>
            </w:r>
          </w:p>
        </w:tc>
        <w:tc>
          <w:tcPr>
            <w:tcW w:w="100" w:type="dxa"/>
            <w:vAlign w:val="bottom"/>
          </w:tcPr>
          <w:p>
            <w:pPr>
              <w:spacing w:after="0"/>
              <w:rPr>
                <w:sz w:val="21"/>
                <w:szCs w:val="21"/>
                <w:color w:val="auto"/>
              </w:rPr>
            </w:pPr>
          </w:p>
        </w:tc>
      </w:tr>
      <w:tr>
        <w:trPr>
          <w:trHeight w:val="263"/>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32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6,871</w:t>
            </w:r>
          </w:p>
        </w:tc>
        <w:tc>
          <w:tcPr>
            <w:tcW w:w="3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00" w:type="dxa"/>
            <w:vAlign w:val="bottom"/>
            <w:shd w:val="clear" w:color="auto" w:fill="CFF0FC"/>
          </w:tcPr>
          <w:p>
            <w:pPr>
              <w:spacing w:after="0"/>
              <w:rPr>
                <w:sz w:val="22"/>
                <w:szCs w:val="22"/>
                <w:color w:val="auto"/>
              </w:rPr>
            </w:pPr>
          </w:p>
        </w:tc>
      </w:tr>
      <w:tr>
        <w:trPr>
          <w:trHeight w:val="238"/>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3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100" w:type="dxa"/>
            <w:vAlign w:val="bottom"/>
          </w:tcPr>
          <w:p>
            <w:pPr>
              <w:spacing w:after="0"/>
              <w:rPr>
                <w:sz w:val="20"/>
                <w:szCs w:val="20"/>
                <w:color w:val="auto"/>
              </w:rPr>
            </w:pPr>
          </w:p>
        </w:tc>
      </w:tr>
      <w:tr>
        <w:trPr>
          <w:trHeight w:val="236"/>
        </w:trPr>
        <w:tc>
          <w:tcPr>
            <w:tcW w:w="6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320" w:type="dxa"/>
            <w:vAlign w:val="bottom"/>
            <w:tcBorders>
              <w:bottom w:val="single" w:sz="8" w:color="auto"/>
            </w:tcBorders>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21,064</w:t>
            </w:r>
          </w:p>
        </w:tc>
        <w:tc>
          <w:tcPr>
            <w:tcW w:w="34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-7620</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components of our condensed consolidated statements of operations and comprehensive loss data, for each of the periods presented, as a percentage of revenue.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320" w:type="dxa"/>
            <w:vAlign w:val="bottom"/>
            <w:gridSpan w:val="3"/>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6500" w:type="dxa"/>
            <w:vAlign w:val="bottom"/>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3"/>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38"/>
        </w:trPr>
        <w:tc>
          <w:tcPr>
            <w:tcW w:w="6500" w:type="dxa"/>
            <w:vAlign w:val="bottom"/>
          </w:tcPr>
          <w:p>
            <w:pPr>
              <w:spacing w:after="0"/>
              <w:rPr>
                <w:sz w:val="20"/>
                <w:szCs w:val="20"/>
                <w:color w:val="auto"/>
              </w:rPr>
            </w:pPr>
          </w:p>
        </w:tc>
        <w:tc>
          <w:tcPr>
            <w:tcW w:w="142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32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3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20" w:type="dxa"/>
            <w:vAlign w:val="bottom"/>
            <w:tcBorders>
              <w:top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100%</w:t>
            </w:r>
          </w:p>
        </w:tc>
        <w:tc>
          <w:tcPr>
            <w:tcW w:w="6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r>
      <w:tr>
        <w:trPr>
          <w:trHeight w:val="243"/>
        </w:trPr>
        <w:tc>
          <w:tcPr>
            <w:tcW w:w="6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20" w:type="dxa"/>
            <w:vAlign w:val="bottom"/>
            <w:tcBorders>
              <w:bottom w:val="single" w:sz="8" w:color="auto"/>
            </w:tcBorders>
            <w:shd w:val="clear" w:color="auto" w:fill="CFF0FC"/>
          </w:tcPr>
          <w:p>
            <w:pPr>
              <w:jc w:val="center"/>
              <w:ind w:left="590"/>
              <w:spacing w:after="0"/>
              <w:rPr>
                <w:sz w:val="20"/>
                <w:szCs w:val="20"/>
                <w:color w:val="auto"/>
              </w:rPr>
            </w:pPr>
            <w:r>
              <w:rPr>
                <w:rFonts w:ascii="Times New Roman" w:cs="Times New Roman" w:eastAsia="Times New Roman" w:hAnsi="Times New Roman"/>
                <w:sz w:val="18"/>
                <w:szCs w:val="18"/>
                <w:color w:val="auto"/>
              </w:rPr>
              <w:t>26%</w:t>
            </w:r>
          </w:p>
        </w:tc>
        <w:tc>
          <w:tcPr>
            <w:tcW w:w="66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4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29%</w:t>
            </w:r>
          </w:p>
        </w:tc>
      </w:tr>
      <w:tr>
        <w:trPr>
          <w:trHeight w:val="23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4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74%</w:t>
            </w:r>
          </w:p>
        </w:tc>
        <w:tc>
          <w:tcPr>
            <w:tcW w:w="332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w w:val="96"/>
              </w:rPr>
              <w:t>71%</w:t>
            </w:r>
          </w:p>
        </w:tc>
      </w:tr>
      <w:tr>
        <w:trPr>
          <w:trHeight w:val="240"/>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2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40" w:type="dxa"/>
            <w:vAlign w:val="bottom"/>
            <w:tcBorders>
              <w:top w:val="single" w:sz="8" w:color="auto"/>
            </w:tcBorders>
            <w:shd w:val="clear" w:color="auto" w:fill="CFF0FC"/>
          </w:tcPr>
          <w:p>
            <w:pPr>
              <w:spacing w:after="0"/>
              <w:rPr>
                <w:sz w:val="20"/>
                <w:szCs w:val="20"/>
                <w:color w:val="auto"/>
              </w:rPr>
            </w:pPr>
          </w:p>
        </w:tc>
      </w:tr>
      <w:tr>
        <w:trPr>
          <w:trHeight w:val="238"/>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32%</w:t>
            </w:r>
          </w:p>
        </w:tc>
        <w:tc>
          <w:tcPr>
            <w:tcW w:w="332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w w:val="96"/>
              </w:rPr>
              <w:t>36%</w:t>
            </w:r>
          </w:p>
        </w:tc>
      </w:tr>
      <w:tr>
        <w:trPr>
          <w:trHeight w:val="247"/>
        </w:trPr>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420" w:type="dxa"/>
            <w:vAlign w:val="bottom"/>
            <w:shd w:val="clear" w:color="auto" w:fill="CFF0FC"/>
          </w:tcPr>
          <w:p>
            <w:pPr>
              <w:jc w:val="center"/>
              <w:ind w:left="590"/>
              <w:spacing w:after="0"/>
              <w:rPr>
                <w:sz w:val="20"/>
                <w:szCs w:val="20"/>
                <w:color w:val="auto"/>
              </w:rPr>
            </w:pPr>
            <w:r>
              <w:rPr>
                <w:rFonts w:ascii="Times New Roman" w:cs="Times New Roman" w:eastAsia="Times New Roman" w:hAnsi="Times New Roman"/>
                <w:sz w:val="18"/>
                <w:szCs w:val="18"/>
                <w:color w:val="auto"/>
              </w:rPr>
              <w:t>56%</w:t>
            </w:r>
          </w:p>
        </w:tc>
        <w:tc>
          <w:tcPr>
            <w:tcW w:w="3320" w:type="dxa"/>
            <w:vAlign w:val="bottom"/>
            <w:gridSpan w:val="3"/>
            <w:shd w:val="clear" w:color="auto" w:fill="CFF0FC"/>
          </w:tcPr>
          <w:p>
            <w:pPr>
              <w:jc w:val="center"/>
              <w:ind w:left="790"/>
              <w:spacing w:after="0"/>
              <w:rPr>
                <w:sz w:val="20"/>
                <w:szCs w:val="20"/>
                <w:color w:val="auto"/>
              </w:rPr>
            </w:pPr>
            <w:r>
              <w:rPr>
                <w:rFonts w:ascii="Times New Roman" w:cs="Times New Roman" w:eastAsia="Times New Roman" w:hAnsi="Times New Roman"/>
                <w:sz w:val="18"/>
                <w:szCs w:val="18"/>
                <w:color w:val="auto"/>
                <w:w w:val="96"/>
              </w:rPr>
              <w:t>59%</w:t>
            </w:r>
          </w:p>
        </w:tc>
      </w:tr>
      <w:tr>
        <w:trPr>
          <w:trHeight w:val="238"/>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r>
      <w:tr>
        <w:trPr>
          <w:trHeight w:val="236"/>
        </w:trPr>
        <w:tc>
          <w:tcPr>
            <w:tcW w:w="650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20" w:type="dxa"/>
            <w:vAlign w:val="bottom"/>
            <w:tcBorders>
              <w:bottom w:val="single" w:sz="8" w:color="auto"/>
            </w:tcBorders>
            <w:shd w:val="clear" w:color="auto" w:fill="CFF0FC"/>
          </w:tcPr>
          <w:p>
            <w:pPr>
              <w:jc w:val="center"/>
              <w:ind w:left="590"/>
              <w:spacing w:after="0"/>
              <w:rPr>
                <w:sz w:val="20"/>
                <w:szCs w:val="20"/>
                <w:color w:val="auto"/>
              </w:rPr>
            </w:pPr>
            <w:r>
              <w:rPr>
                <w:rFonts w:ascii="Times New Roman" w:cs="Times New Roman" w:eastAsia="Times New Roman" w:hAnsi="Times New Roman"/>
                <w:sz w:val="18"/>
                <w:szCs w:val="18"/>
                <w:color w:val="auto"/>
                <w:w w:val="99"/>
              </w:rPr>
              <w:t>108%</w:t>
            </w:r>
          </w:p>
        </w:tc>
        <w:tc>
          <w:tcPr>
            <w:tcW w:w="66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4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5"/>
              </w:rPr>
              <w:t>115%</w:t>
            </w:r>
          </w:p>
        </w:tc>
      </w:tr>
      <w:tr>
        <w:trPr>
          <w:trHeight w:val="23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4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(34)%</w:t>
            </w:r>
          </w:p>
        </w:tc>
        <w:tc>
          <w:tcPr>
            <w:tcW w:w="332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w w:val="97"/>
              </w:rPr>
              <w:t>(44)%</w:t>
            </w:r>
          </w:p>
        </w:tc>
      </w:tr>
      <w:tr>
        <w:trPr>
          <w:trHeight w:val="243"/>
        </w:trPr>
        <w:tc>
          <w:tcPr>
            <w:tcW w:w="6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20" w:type="dxa"/>
            <w:vAlign w:val="bottom"/>
            <w:tcBorders>
              <w:bottom w:val="single" w:sz="8" w:color="auto"/>
            </w:tcBorders>
            <w:shd w:val="clear" w:color="auto" w:fill="CFF0FC"/>
          </w:tcPr>
          <w:p>
            <w:pPr>
              <w:jc w:val="center"/>
              <w:ind w:left="570"/>
              <w:spacing w:after="0"/>
              <w:rPr>
                <w:sz w:val="20"/>
                <w:szCs w:val="20"/>
                <w:color w:val="auto"/>
              </w:rPr>
            </w:pPr>
            <w:r>
              <w:rPr>
                <w:rFonts w:ascii="Times New Roman" w:cs="Times New Roman" w:eastAsia="Times New Roman" w:hAnsi="Times New Roman"/>
                <w:sz w:val="18"/>
                <w:szCs w:val="18"/>
                <w:color w:val="auto"/>
                <w:w w:val="99"/>
              </w:rPr>
              <w:t>5%</w:t>
            </w:r>
          </w:p>
        </w:tc>
        <w:tc>
          <w:tcPr>
            <w:tcW w:w="66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4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36"/>
        </w:trPr>
        <w:tc>
          <w:tcPr>
            <w:tcW w:w="6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Loss before provision for (benefit from) income taxes</w:t>
            </w:r>
          </w:p>
        </w:tc>
        <w:tc>
          <w:tcPr>
            <w:tcW w:w="14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(29)%</w:t>
            </w:r>
          </w:p>
        </w:tc>
        <w:tc>
          <w:tcPr>
            <w:tcW w:w="332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w w:val="97"/>
              </w:rPr>
              <w:t>(39)%</w:t>
            </w:r>
          </w:p>
        </w:tc>
      </w:tr>
      <w:tr>
        <w:trPr>
          <w:trHeight w:val="247"/>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420" w:type="dxa"/>
            <w:vAlign w:val="bottom"/>
            <w:shd w:val="clear" w:color="auto" w:fill="CFF0FC"/>
          </w:tcPr>
          <w:p>
            <w:pPr>
              <w:jc w:val="center"/>
              <w:ind w:left="570"/>
              <w:spacing w:after="0"/>
              <w:rPr>
                <w:sz w:val="20"/>
                <w:szCs w:val="20"/>
                <w:color w:val="auto"/>
              </w:rPr>
            </w:pPr>
            <w:r>
              <w:rPr>
                <w:rFonts w:ascii="Times New Roman" w:cs="Times New Roman" w:eastAsia="Times New Roman" w:hAnsi="Times New Roman"/>
                <w:sz w:val="18"/>
                <w:szCs w:val="18"/>
                <w:color w:val="auto"/>
                <w:w w:val="99"/>
              </w:rPr>
              <w:t>1%</w:t>
            </w:r>
          </w:p>
        </w:tc>
        <w:tc>
          <w:tcPr>
            <w:tcW w:w="3320" w:type="dxa"/>
            <w:vAlign w:val="bottom"/>
            <w:gridSpan w:val="3"/>
            <w:shd w:val="clear" w:color="auto" w:fill="CFF0FC"/>
          </w:tcPr>
          <w:p>
            <w:pPr>
              <w:jc w:val="center"/>
              <w:ind w:left="790"/>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(30)%</w:t>
            </w:r>
          </w:p>
        </w:tc>
        <w:tc>
          <w:tcPr>
            <w:tcW w:w="332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w w:val="97"/>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-1732280</wp:posOffset>
            </wp:positionV>
            <wp:extent cx="137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-781685</wp:posOffset>
            </wp:positionV>
            <wp:extent cx="137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-464820</wp:posOffset>
            </wp:positionV>
            <wp:extent cx="137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wp:posOffset>
            </wp:positionV>
            <wp:extent cx="8559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236" w:lineRule="exact"/>
        <w:rPr>
          <w:sz w:val="20"/>
          <w:szCs w:val="20"/>
          <w:color w:val="auto"/>
        </w:rPr>
      </w:pPr>
    </w:p>
    <w:p>
      <w:pPr>
        <w:ind w:left="300" w:hanging="292"/>
        <w:spacing w:after="0"/>
        <w:tabs>
          <w:tab w:leader="none" w:pos="3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Certain figures may not sum due to rounding</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126" w:gutter="0" w:footer="0" w:header="0"/>
        </w:sectPr>
      </w:pPr>
    </w:p>
    <w:bookmarkStart w:id="27" w:name="page28"/>
    <w:bookmarkEnd w:id="27"/>
    <w:p>
      <w:pPr>
        <w:ind w:right="4260"/>
        <w:spacing w:after="0" w:line="41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Comparison of Three Months Ended March 31, 2024 to Three Months Ended March 31, 2023 </w:t>
      </w:r>
      <w:r>
        <w:rPr>
          <w:rFonts w:ascii="Times New Roman" w:cs="Times New Roman" w:eastAsia="Times New Roman" w:hAnsi="Times New Roman"/>
          <w:sz w:val="18"/>
          <w:szCs w:val="18"/>
          <w:i w:val="1"/>
          <w:iCs w:val="1"/>
          <w:color w:val="auto"/>
        </w:rPr>
        <w:t>Revenue</w:t>
      </w:r>
    </w:p>
    <w:p>
      <w:pPr>
        <w:spacing w:after="0" w:line="87"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6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5"/>
        </w:trPr>
        <w:tc>
          <w:tcPr>
            <w:tcW w:w="4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72,624</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66,477</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6,147</w:t>
            </w:r>
          </w:p>
        </w:tc>
        <w:tc>
          <w:tcPr>
            <w:tcW w:w="172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9%</w:t>
            </w:r>
          </w:p>
        </w:tc>
      </w:tr>
    </w:tbl>
    <w:p>
      <w:pPr>
        <w:spacing w:after="0" w:line="197" w:lineRule="exact"/>
        <w:rPr>
          <w:sz w:val="20"/>
          <w:szCs w:val="20"/>
          <w:color w:val="auto"/>
        </w:rPr>
      </w:pPr>
    </w:p>
    <w:p>
      <w:pPr>
        <w:jc w:val="both"/>
        <w:ind w:right="240" w:firstLine="509"/>
        <w:spacing w:after="0" w:line="265" w:lineRule="auto"/>
        <w:rPr>
          <w:sz w:val="20"/>
          <w:szCs w:val="20"/>
          <w:color w:val="auto"/>
        </w:rPr>
      </w:pPr>
      <w:r>
        <w:rPr>
          <w:rFonts w:ascii="Times New Roman" w:cs="Times New Roman" w:eastAsia="Times New Roman" w:hAnsi="Times New Roman"/>
          <w:sz w:val="18"/>
          <w:szCs w:val="18"/>
          <w:color w:val="auto"/>
        </w:rPr>
        <w:t>Revenue increased $6.1 million, or 9%, during the three months ended March 31, 2024 compared to the three months ended March 31, 2023. The increase in revenue was primarily due to growth of our paying customer base by 37%, partially offset by partial and full churn among existing customers which marginally outpaced our expansion of existing customers as reflected by our NRR (TTM) of 99% as of March 31, 2024.</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Revenue and Gross Margin</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0"/>
        </w:trPr>
        <w:tc>
          <w:tcPr>
            <w:tcW w:w="4640" w:type="dxa"/>
            <w:vAlign w:val="bottom"/>
          </w:tcPr>
          <w:p>
            <w:pPr>
              <w:spacing w:after="0"/>
              <w:rPr>
                <w:sz w:val="24"/>
                <w:szCs w:val="24"/>
                <w:color w:val="auto"/>
              </w:rPr>
            </w:pPr>
          </w:p>
        </w:tc>
        <w:tc>
          <w:tcPr>
            <w:tcW w:w="270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5"/>
        </w:trPr>
        <w:tc>
          <w:tcPr>
            <w:tcW w:w="464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5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0"/>
        </w:trPr>
        <w:tc>
          <w:tcPr>
            <w:tcW w:w="46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2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5"/>
        </w:trPr>
        <w:tc>
          <w:tcPr>
            <w:tcW w:w="4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8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1460" w:type="dxa"/>
            <w:vAlign w:val="bottom"/>
          </w:tcPr>
          <w:p>
            <w:pPr>
              <w:spacing w:after="0"/>
              <w:rPr>
                <w:sz w:val="21"/>
                <w:szCs w:val="21"/>
                <w:color w:val="auto"/>
              </w:rPr>
            </w:pPr>
          </w:p>
        </w:tc>
      </w:tr>
      <w:tr>
        <w:trPr>
          <w:trHeight w:val="263"/>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18,889</w:t>
            </w: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19,187</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(298 )</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86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74 %</w:t>
            </w:r>
          </w:p>
        </w:tc>
        <w:tc>
          <w:tcPr>
            <w:tcW w:w="104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71 %</w:t>
            </w:r>
          </w:p>
        </w:tc>
        <w:tc>
          <w:tcPr>
            <w:tcW w:w="220" w:type="dxa"/>
            <w:vAlign w:val="bottom"/>
          </w:tcPr>
          <w:p>
            <w:pPr>
              <w:spacing w:after="0"/>
              <w:rPr>
                <w:sz w:val="21"/>
                <w:szCs w:val="21"/>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211"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Cost of revenue decreased $0.3 million, or 2%, during the three months ended March 31, 2024 compared to the three months ended March 31, 2023. The decrease was primarily due to a decrease of $1.0 million in personnel and related expenses, offset by an increase of $0.6 million in our third-party hosting costs.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0"/>
        </w:trPr>
        <w:tc>
          <w:tcPr>
            <w:tcW w:w="4620" w:type="dxa"/>
            <w:vAlign w:val="bottom"/>
          </w:tcPr>
          <w:p>
            <w:pPr>
              <w:spacing w:after="0"/>
              <w:rPr>
                <w:sz w:val="24"/>
                <w:szCs w:val="24"/>
                <w:color w:val="auto"/>
              </w:rPr>
            </w:pPr>
          </w:p>
        </w:tc>
        <w:tc>
          <w:tcPr>
            <w:tcW w:w="272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5"/>
        </w:trPr>
        <w:tc>
          <w:tcPr>
            <w:tcW w:w="462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0"/>
        </w:trPr>
        <w:tc>
          <w:tcPr>
            <w:tcW w:w="462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Pr>
          <w:p>
            <w:pPr>
              <w:spacing w:after="0"/>
              <w:rPr>
                <w:sz w:val="20"/>
                <w:szCs w:val="20"/>
                <w:color w:val="auto"/>
              </w:rPr>
            </w:pPr>
          </w:p>
        </w:tc>
        <w:tc>
          <w:tcPr>
            <w:tcW w:w="1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5"/>
        </w:trPr>
        <w:tc>
          <w:tcPr>
            <w:tcW w:w="4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0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1460" w:type="dxa"/>
            <w:vAlign w:val="bottom"/>
          </w:tcPr>
          <w:p>
            <w:pPr>
              <w:spacing w:after="0"/>
              <w:rPr>
                <w:sz w:val="21"/>
                <w:szCs w:val="21"/>
                <w:color w:val="auto"/>
              </w:rPr>
            </w:pPr>
          </w:p>
        </w:tc>
      </w:tr>
      <w:tr>
        <w:trPr>
          <w:trHeight w:val="26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22,953</w:t>
            </w:r>
          </w:p>
        </w:tc>
        <w:tc>
          <w:tcPr>
            <w:tcW w:w="134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23,708</w:t>
            </w:r>
          </w:p>
        </w:tc>
        <w:tc>
          <w:tcPr>
            <w:tcW w:w="68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(755 )</w:t>
            </w:r>
          </w:p>
        </w:tc>
        <w:tc>
          <w:tcPr>
            <w:tcW w:w="146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(3)%</w:t>
            </w:r>
          </w:p>
        </w:tc>
      </w:tr>
      <w:tr>
        <w:trPr>
          <w:trHeight w:val="24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40,817</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39,133</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260" w:type="dxa"/>
            <w:vAlign w:val="bottom"/>
          </w:tcPr>
          <w:p>
            <w:pPr>
              <w:spacing w:after="0"/>
              <w:rPr>
                <w:sz w:val="21"/>
                <w:szCs w:val="21"/>
                <w:color w:val="auto"/>
              </w:rPr>
            </w:pPr>
          </w:p>
        </w:tc>
        <w:tc>
          <w:tcPr>
            <w:tcW w:w="14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w:t>
            </w:r>
          </w:p>
        </w:tc>
      </w:tr>
      <w:tr>
        <w:trPr>
          <w:trHeight w:val="249"/>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14,670</w:t>
            </w:r>
          </w:p>
        </w:tc>
        <w:tc>
          <w:tcPr>
            <w:tcW w:w="2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13,622</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8%</w:t>
            </w:r>
          </w:p>
        </w:tc>
      </w:tr>
      <w:tr>
        <w:trPr>
          <w:trHeight w:val="23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78,440</w:t>
            </w:r>
          </w:p>
        </w:tc>
        <w:tc>
          <w:tcPr>
            <w:tcW w:w="280" w:type="dxa"/>
            <w:vAlign w:val="bottom"/>
          </w:tcPr>
          <w:p>
            <w:pPr>
              <w:spacing w:after="0"/>
              <w:rPr>
                <w:sz w:val="20"/>
                <w:szCs w:val="20"/>
                <w:color w:val="auto"/>
              </w:rPr>
            </w:pP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76,463</w:t>
            </w:r>
          </w:p>
        </w:tc>
        <w:tc>
          <w:tcPr>
            <w:tcW w:w="26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260" w:type="dxa"/>
            <w:vAlign w:val="bottom"/>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-170815</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-170815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-170815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ind w:right="240" w:firstLine="509"/>
        <w:spacing w:after="0" w:line="288" w:lineRule="auto"/>
        <w:rPr>
          <w:sz w:val="20"/>
          <w:szCs w:val="20"/>
          <w:color w:val="auto"/>
        </w:rPr>
      </w:pPr>
      <w:r>
        <w:rPr>
          <w:rFonts w:ascii="Times New Roman" w:cs="Times New Roman" w:eastAsia="Times New Roman" w:hAnsi="Times New Roman"/>
          <w:sz w:val="17"/>
          <w:szCs w:val="17"/>
          <w:color w:val="auto"/>
        </w:rPr>
        <w:t>Research and development expenses decreased $0.8 million, or 3%, during the three months ended March 31, 2024 compared to the three months ended March 31, 2023. This decrease was primarily due to a decrease of $0.9 million in personnel and related expenses and a decrease of $0.2 million in consulting fees. The decrease was partially offset by an increase of $0.5 million in stock-based compensation expenses and related payroll taxes.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right="280" w:firstLine="509"/>
        <w:spacing w:after="0" w:line="265" w:lineRule="auto"/>
        <w:rPr>
          <w:sz w:val="20"/>
          <w:szCs w:val="20"/>
          <w:color w:val="auto"/>
        </w:rPr>
      </w:pPr>
      <w:r>
        <w:rPr>
          <w:rFonts w:ascii="Times New Roman" w:cs="Times New Roman" w:eastAsia="Times New Roman" w:hAnsi="Times New Roman"/>
          <w:sz w:val="18"/>
          <w:szCs w:val="18"/>
          <w:color w:val="auto"/>
        </w:rPr>
        <w:t>Sales and marketing expenses increased $1.7 million, or 4%, during the three months ended March 31, 2024 compared to the three months ended March 31, 2023. The increase was primarily due to an increase of $0.6 million in stock-based compensation expenses and related payroll taxes. The increase was also attributable to an increase of $0.5 million in the amortization of capitalized commissions in the period.</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jc w:val="both"/>
        <w:ind w:right="260" w:firstLine="509"/>
        <w:spacing w:after="0" w:line="265" w:lineRule="auto"/>
        <w:rPr>
          <w:sz w:val="20"/>
          <w:szCs w:val="20"/>
          <w:color w:val="auto"/>
        </w:rPr>
      </w:pPr>
      <w:r>
        <w:rPr>
          <w:rFonts w:ascii="Times New Roman" w:cs="Times New Roman" w:eastAsia="Times New Roman" w:hAnsi="Times New Roman"/>
          <w:sz w:val="18"/>
          <w:szCs w:val="18"/>
          <w:color w:val="auto"/>
        </w:rPr>
        <w:t>General and administrative expenses increased $1.0 million, or 8%, during the three months ended March 31, 2024 compared to the three months ended March 31, 2023. The increase was primarily attributable to an increase of $0.7 million in stock-based compensation expenses and related payroll taxes, and an increase of $0.8 million in personnel and related expenses, including an increase in allocated overhead costs.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0"/>
        </w:trPr>
        <w:tc>
          <w:tcPr>
            <w:tcW w:w="4620" w:type="dxa"/>
            <w:vAlign w:val="bottom"/>
          </w:tcPr>
          <w:p>
            <w:pPr>
              <w:spacing w:after="0"/>
              <w:rPr>
                <w:sz w:val="24"/>
                <w:szCs w:val="24"/>
                <w:color w:val="auto"/>
              </w:rPr>
            </w:pPr>
          </w:p>
        </w:tc>
        <w:tc>
          <w:tcPr>
            <w:tcW w:w="278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5"/>
        </w:trPr>
        <w:tc>
          <w:tcPr>
            <w:tcW w:w="462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5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0"/>
        </w:trPr>
        <w:tc>
          <w:tcPr>
            <w:tcW w:w="46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5"/>
        </w:trPr>
        <w:tc>
          <w:tcPr>
            <w:tcW w:w="4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2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1400" w:type="dxa"/>
            <w:vAlign w:val="bottom"/>
            <w:gridSpan w:val="2"/>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32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533</w:t>
            </w:r>
          </w:p>
        </w:tc>
        <w:tc>
          <w:tcPr>
            <w:tcW w:w="172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17%</w:t>
            </w:r>
          </w:p>
        </w:tc>
      </w:tr>
    </w:tbl>
    <w:p>
      <w:pPr>
        <w:spacing w:after="0" w:line="265"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Other income (expense), net increased $0.5 million during the three months ended March 31, 2024 compared to the three months ended March 31, 2023. The increase was primarily due to rising interest rates, which resulted in an increase in interest income by $0.5 million in the three months ended March 31, 2024.</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Provision for (Benefit from) Income Taxes</w:t>
            </w: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0"/>
        </w:trPr>
        <w:tc>
          <w:tcPr>
            <w:tcW w:w="13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40" w:type="dxa"/>
            <w:vAlign w:val="bottom"/>
            <w:gridSpan w:val="4"/>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5"/>
        </w:trPr>
        <w:tc>
          <w:tcPr>
            <w:tcW w:w="13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4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0"/>
        </w:trPr>
        <w:tc>
          <w:tcPr>
            <w:tcW w:w="13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5"/>
        </w:trPr>
        <w:tc>
          <w:tcPr>
            <w:tcW w:w="13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4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460" w:type="dxa"/>
            <w:vAlign w:val="bottom"/>
            <w:gridSpan w:val="2"/>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32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146</w:t>
            </w:r>
          </w:p>
        </w:tc>
        <w:tc>
          <w:tcPr>
            <w:tcW w:w="1720" w:type="dxa"/>
            <w:vAlign w:val="bottom"/>
            <w:gridSpan w:val="2"/>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r>
      <w:tr>
        <w:trPr>
          <w:trHeight w:val="148"/>
        </w:trPr>
        <w:tc>
          <w:tcPr>
            <w:tcW w:w="1360" w:type="dxa"/>
            <w:vAlign w:val="bottom"/>
            <w:tcBorders>
              <w:bottom w:val="single" w:sz="8" w:color="auto"/>
            </w:tcBorders>
          </w:tcPr>
          <w:p>
            <w:pPr>
              <w:spacing w:after="0"/>
              <w:rPr>
                <w:sz w:val="12"/>
                <w:szCs w:val="12"/>
                <w:color w:val="auto"/>
              </w:rPr>
            </w:pPr>
          </w:p>
        </w:tc>
        <w:tc>
          <w:tcPr>
            <w:tcW w:w="3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r>
    </w:tbl>
    <w:p>
      <w:pPr>
        <w:spacing w:after="0" w:line="85" w:lineRule="exact"/>
        <w:rPr>
          <w:sz w:val="20"/>
          <w:szCs w:val="20"/>
          <w:color w:val="auto"/>
        </w:rPr>
      </w:pPr>
    </w:p>
    <w:p>
      <w:pPr>
        <w:ind w:left="300" w:hanging="292"/>
        <w:spacing w:after="0"/>
        <w:tabs>
          <w:tab w:leader="none" w:pos="3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meaningful</w:t>
      </w:r>
    </w:p>
    <w:p>
      <w:pPr>
        <w:spacing w:after="0" w:line="248" w:lineRule="exact"/>
        <w:rPr>
          <w:sz w:val="20"/>
          <w:szCs w:val="20"/>
          <w:color w:val="auto"/>
        </w:rPr>
      </w:pPr>
    </w:p>
    <w:p>
      <w:pPr>
        <w:ind w:right="280" w:firstLine="509"/>
        <w:spacing w:after="0" w:line="265" w:lineRule="auto"/>
        <w:rPr>
          <w:sz w:val="20"/>
          <w:szCs w:val="20"/>
          <w:color w:val="auto"/>
        </w:rPr>
      </w:pPr>
      <w:r>
        <w:rPr>
          <w:rFonts w:ascii="Times New Roman" w:cs="Times New Roman" w:eastAsia="Times New Roman" w:hAnsi="Times New Roman"/>
          <w:sz w:val="18"/>
          <w:szCs w:val="18"/>
          <w:color w:val="auto"/>
        </w:rPr>
        <w:t>Provision for (benefit from) income taxes increased $0.1 million, during the three months ended March 31, 2024 compared to the three months ended March 31, 2023, primarily due to increased foreign taxes during the three months ended March 31, 2024 compared to the three months March 31, 2023.</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Since inception, we have financed operations primarily through the net proceeds we have received from the sales of our preferred stock and common stock as well as cash generated from the sale of subscriptions to our platform. We have generated losses from our operations as reflected in our accumulated deficit of $385.0 million as of March 31, 2024. We generated negative cash flows from operating activities for the three months ended March 31, 2024 and have historically generated negative cash flows from operating activities. Our future capital requirements will depend on many factors, including revenue growth and costs incurred to support our platform, including growth in our customer base and customer usage, increased research and development expenses to support the growth of our business and related infrastructure, and increased general and administrative expenses to support being a publicly-traded company.</w:t>
      </w:r>
    </w:p>
    <w:p>
      <w:pPr>
        <w:spacing w:after="0" w:line="18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As of March 31, 2024, our principal sources of liquidity were cash and cash equivalents of $265.7 million and restricted cash of $0.9 million. We also had $50.4 million in marketable securities that provide additional capital resources. Additionally, a substantial source of our cash provided by operating activities is our deferred revenue, which is included on our condensed consolidated balance sheets as a liability. Deferred revenue consists of the unearned portion of billed fees for our subscriptions, which is recorded as revenue over the term of the subscription agreement. As of March 31, 2024, we had $102.8 million of deferred revenue, all of which was recorded as a current liability. This deferred revenue will be recognized as revenue when or as the related performance obligations are met.</w:t>
      </w:r>
    </w:p>
    <w:p>
      <w:pPr>
        <w:spacing w:after="0" w:line="18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assess our liquidity primarily through our cash on hand as well as the projected timing of billings under contract with our paying customers and related collection cycles. We believe our current cash and cash equivalents on hand will be sufficient to meet our working capital and capital expenditure requirements for at least the next 12 months. In the event that additional financing is required from outside sources, we may seek to raise additional funds at any time through equity, equity-linked arrangements, and debt. If we are unable to raise additional funds when desired and at reasonable rates, our business, results of operations, and financial</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29" w:name="page30"/>
    <w:bookmarkEnd w:id="29"/>
    <w:p>
      <w:pPr>
        <w:ind w:right="160"/>
        <w:spacing w:after="0" w:line="281" w:lineRule="auto"/>
        <w:rPr>
          <w:sz w:val="20"/>
          <w:szCs w:val="20"/>
          <w:color w:val="auto"/>
        </w:rPr>
      </w:pPr>
      <w:r>
        <w:rPr>
          <w:rFonts w:ascii="Times New Roman" w:cs="Times New Roman" w:eastAsia="Times New Roman" w:hAnsi="Times New Roman"/>
          <w:sz w:val="18"/>
          <w:szCs w:val="18"/>
          <w:color w:val="auto"/>
        </w:rPr>
        <w:t>condition would be adversely affected. See “Risk Factors—Risks Related to Our Business and Industry—We may require additional capital to support the growth of our business, and this capital might not be available on acceptable terms, if at all.”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presented: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65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65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6"/>
        </w:trPr>
        <w:tc>
          <w:tcPr>
            <w:tcW w:w="6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w:t>
            </w:r>
          </w:p>
        </w:tc>
        <w:tc>
          <w:tcPr>
            <w:tcW w:w="12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i w:val="1"/>
                <w:iCs w:val="1"/>
                <w:color w:val="auto"/>
              </w:rPr>
              <w:t>thousands)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8"/>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(48 )</w:t>
            </w: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(5,061 )</w:t>
            </w:r>
          </w:p>
        </w:tc>
      </w:tr>
      <w:tr>
        <w:trPr>
          <w:trHeight w:val="24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23,058</w:t>
            </w:r>
          </w:p>
        </w:tc>
        <w:tc>
          <w:tcPr>
            <w:tcW w:w="340" w:type="dxa"/>
            <w:vAlign w:val="bottom"/>
          </w:tcPr>
          <w:p>
            <w:pPr>
              <w:spacing w:after="0"/>
              <w:rPr>
                <w:sz w:val="21"/>
                <w:szCs w:val="21"/>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(777 )</w:t>
            </w:r>
          </w:p>
        </w:tc>
      </w:tr>
      <w:tr>
        <w:trPr>
          <w:trHeight w:val="263"/>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(5,793 )</w:t>
            </w: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shd w:val="clear" w:color="auto" w:fill="CFF0FC"/>
          </w:tcPr>
          <w:p>
            <w:pPr>
              <w:spacing w:after="0"/>
              <w:rPr>
                <w:sz w:val="22"/>
                <w:szCs w:val="22"/>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Our largest source of operating cash is cash collection from sales of subscriptions to our paying customers. Our primary uses of cash from operating activities are for personnel and related expenses, marketing expenses, and third-party hosting-related and software expenses. For the current period we have generated negative cash flow from operating activities, and in the last several years, we have generated negative cash flows from operating activities.</w:t>
      </w:r>
    </w:p>
    <w:p>
      <w:pPr>
        <w:spacing w:after="0" w:line="6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of $0.05 million for the three months ended March 31, 2024 reflects our net loss of $21.5 million, adjusted by non-cash items such as stock-based compensation expense of $21.1 million, depreciation and amortization of $1.4 million, and non-cash operating lease costs of $1.0 million as well as net cash provided by changes in our operating assets and liabilities of $1.8 million. The net cash used in changes in operating assets and liabilities primarily consisted of a $6.8 million increase in accounts receivable due to higher customer billings and a $5.1 million increase in prepaid expenses and other current and noncurrent assets related to an increase in prepayments made in advance for future services. These changes were primarily offset by a net increase in accrued expenses and accounts payable of $10.8 million due to timing of payments made.</w:t>
      </w:r>
    </w:p>
    <w:p>
      <w:pPr>
        <w:spacing w:after="0" w:line="78"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of $5.1 million for the three months ended March 31, 2023 reflects our net loss of $26.3 million, adjusted by non-cash items such as stock-based compensation expense of $20.0 million, depreciation and amortization of $1.3 million, and non-cash operating lease costs of $1.0 million as well as net cash used in changes in our operating assets and liabilities of $0.8 million. The net cash used in changes in operating assets and liabilities primarily consisted of a $8.1 million increase in accounts receivable due to higher customer billings. These changes were primarily offset by a decrease in prepaid expenses and other current and noncurrent assets of $4.2 million and an increase in accounts payable and accrued expenses of $4.2 million.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Net cash provided by investing activities of $23.1 million for the three months ended March 31, 2024 consisted of $42.5 million of cash received from the maturities of marketable securities, offset by $18.4 million of purchases of marketable securities, $0.7 million in capitalized internal-use software development costs, and $0.4 million in purchases of property and equipment.</w:t>
      </w:r>
    </w:p>
    <w:p>
      <w:pPr>
        <w:spacing w:after="0" w:line="69"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Net cash used in investing activities of $0.8 million for the three months ended March 31, 2023 consisted of $0.4 million of capitalized internal-use software development costs and $0.3 million in purchases of property and equipment.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right="280" w:firstLine="509"/>
        <w:spacing w:after="0" w:line="265" w:lineRule="auto"/>
        <w:rPr>
          <w:sz w:val="20"/>
          <w:szCs w:val="20"/>
          <w:color w:val="auto"/>
        </w:rPr>
      </w:pPr>
      <w:r>
        <w:rPr>
          <w:rFonts w:ascii="Times New Roman" w:cs="Times New Roman" w:eastAsia="Times New Roman" w:hAnsi="Times New Roman"/>
          <w:sz w:val="18"/>
          <w:szCs w:val="18"/>
          <w:color w:val="auto"/>
        </w:rPr>
        <w:t>Net cash used in financing activities of $5.8 million for the three months ended March 31, 2024 consisted of $7.6 million in net tax remittance on equity awards related to the vesting of RSU awards under a withhold-to-cover method, partially offset by $1.8 million in proceeds from the exercise of stock options.</w:t>
      </w:r>
    </w:p>
    <w:p>
      <w:pPr>
        <w:spacing w:after="0" w:line="69"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Net cash provided by financing activities of $1.4 million for the three months ended March 31, 2023 primarily consisted of $1.7 million in proceeds from the exercise of stock options.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Remaining performance obligations (“RPO”) as of March 31, 2024 and 2023, including the expected timing of recognition is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0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6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r>
      <w:tr>
        <w:trPr>
          <w:trHeight w:val="240"/>
        </w:trPr>
        <w:tc>
          <w:tcPr>
            <w:tcW w:w="54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2"/>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than or equal to 12 months</w:t>
            </w:r>
          </w:p>
        </w:tc>
        <w:tc>
          <w:tcPr>
            <w:tcW w:w="100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197,087</w:t>
            </w:r>
          </w:p>
        </w:tc>
        <w:tc>
          <w:tcPr>
            <w:tcW w:w="1540" w:type="dxa"/>
            <w:vAlign w:val="bottom"/>
            <w:gridSpan w:val="2"/>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191,548</w:t>
            </w:r>
          </w:p>
        </w:tc>
        <w:tc>
          <w:tcPr>
            <w:tcW w:w="2000" w:type="dxa"/>
            <w:vAlign w:val="bottom"/>
            <w:gridSpan w:val="2"/>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9"/>
              </w:rPr>
              <w:t>3%</w:t>
            </w:r>
          </w:p>
        </w:tc>
      </w:tr>
      <w:tr>
        <w:trPr>
          <w:trHeight w:val="23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than 12 months</w:t>
            </w:r>
          </w:p>
        </w:tc>
        <w:tc>
          <w:tcPr>
            <w:tcW w:w="10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53,531</w:t>
            </w:r>
          </w:p>
        </w:tc>
        <w:tc>
          <w:tcPr>
            <w:tcW w:w="3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48,810</w:t>
            </w:r>
          </w:p>
        </w:tc>
        <w:tc>
          <w:tcPr>
            <w:tcW w:w="28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36"/>
        </w:trPr>
        <w:tc>
          <w:tcPr>
            <w:tcW w:w="5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remaining performance obligations</w:t>
            </w: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250,618</w:t>
            </w:r>
          </w:p>
        </w:tc>
        <w:tc>
          <w:tcPr>
            <w:tcW w:w="30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240,358</w:t>
            </w:r>
          </w:p>
        </w:tc>
        <w:tc>
          <w:tcPr>
            <w:tcW w:w="28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-7620</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20" w:firstLine="509"/>
        <w:spacing w:after="0" w:line="280" w:lineRule="auto"/>
        <w:rPr>
          <w:sz w:val="20"/>
          <w:szCs w:val="20"/>
          <w:color w:val="auto"/>
        </w:rPr>
      </w:pPr>
      <w:r>
        <w:rPr>
          <w:rFonts w:ascii="Times New Roman" w:cs="Times New Roman" w:eastAsia="Times New Roman" w:hAnsi="Times New Roman"/>
          <w:sz w:val="17"/>
          <w:szCs w:val="17"/>
          <w:color w:val="auto"/>
        </w:rPr>
        <w:t>Our RPO represents the amount of contracted future revenue that has not yet been recognized, including both deferred revenue and non-cancellable contracted amounts that will be invoiced and recognized as revenue in future periods. RPO excludes performance obligations from overages. RPO is influenced by a number of factors, including the timing of renewals, the timing of purchases, average contract terms, and seasonality. Due to these factors, it is important to review RPO in conjunction with product revenue and other financial metrics disclosed elsewhere in this Quarterly Report on Form 10-Q.</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320" w:firstLine="509"/>
        <w:spacing w:after="0" w:line="265" w:lineRule="auto"/>
        <w:rPr>
          <w:sz w:val="20"/>
          <w:szCs w:val="20"/>
          <w:color w:val="auto"/>
        </w:rPr>
      </w:pPr>
      <w:r>
        <w:rPr>
          <w:rFonts w:ascii="Times New Roman" w:cs="Times New Roman" w:eastAsia="Times New Roman" w:hAnsi="Times New Roman"/>
          <w:sz w:val="18"/>
          <w:szCs w:val="18"/>
          <w:color w:val="auto"/>
        </w:rPr>
        <w:t>During the three months ended March 31, 2024, there were no material changes in our contractual obligations and other commitments outside of those disclosed in the 2023 Form 10-K. For further information on our commitments and contingencies, refer to Note 9 in the consolidated financial statements contained within the 2023 Form 10-K.</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right="280" w:firstLine="50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reasonably be expected to have a material effect on our financial position, results of operations, or cash flows.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240" w:firstLine="509"/>
        <w:spacing w:after="0" w:line="265" w:lineRule="auto"/>
        <w:rPr>
          <w:sz w:val="20"/>
          <w:szCs w:val="20"/>
          <w:color w:val="auto"/>
        </w:rPr>
      </w:pPr>
      <w:r>
        <w:rPr>
          <w:rFonts w:ascii="Times New Roman" w:cs="Times New Roman" w:eastAsia="Times New Roman" w:hAnsi="Times New Roman"/>
          <w:sz w:val="18"/>
          <w:szCs w:val="18"/>
          <w:color w:val="auto"/>
        </w:rPr>
        <w:t>For all periods presented in this Quarterly Report on Form 10-Q,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 There have been no changes to our critical accounting policies and estimates, during the three months ended March 31, 2024 as compared to those disclosed in Part II, Item 7. Management’s Discussion and Analysis of Financial Condition and Results of Operations of the 2023 Form 10-K.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880" w:firstLine="509"/>
        <w:spacing w:after="0" w:line="281" w:lineRule="auto"/>
        <w:rPr>
          <w:sz w:val="20"/>
          <w:szCs w:val="20"/>
          <w:color w:val="auto"/>
        </w:rPr>
      </w:pPr>
      <w:r>
        <w:rPr>
          <w:rFonts w:ascii="Times New Roman" w:cs="Times New Roman" w:eastAsia="Times New Roman" w:hAnsi="Times New Roman"/>
          <w:sz w:val="18"/>
          <w:szCs w:val="18"/>
          <w:color w:val="auto"/>
        </w:rPr>
        <w:t>See Note 1 to our condensed consolidated financial statements included in Part I, Item 1 of this Quarterly Report on Form 10-Q for more information regarding recent accounting pronouncements.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cash and cash equivalents and marketable securities primarily consist of cash on hand and highly liquid investments in money market funds and U.S. government securities. As of March 31, 2024, we had cash and cash equivalents of $265.7 million and marketable securities, including non-current marketable securities, of $50.4 million. We do not enter into investments for trading or speculative purposes. Our investments are exposed to market risk due to fluctuations in interest rates, which may affect our interest income and fair value of our investments. However, an immediate 10% increase or decrease in interest rates would not have a material effect on the fair value of our portfolio. We therefore do not expect our operating results or cash flows to be materially affected by a sudden change in market interest rates.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vast majority of our subscription agreements are denominated in U.S. dollars, with a small number of subscription agreements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Australian Dollar, and Japanese Yen. Additionally, fluctuations in foreign currency exchange rates may cause us to recognize transaction gains and losses in our condensed consolidated statements of operations and comprehensive loss. As the impact of foreign currency exchange rates has not been material to our historical operating results, we have not entered into derivative or hedging transactions, but we may do so in the future if our exposure to foreign currency becomes more significant. A hypothetical 10% increase or decrease in the relative value of the U.S. dollar to other currencies would not have a material effect on our operating results.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right="60" w:firstLine="509"/>
        <w:spacing w:after="0" w:line="265"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has evaluated the effectiveness of our disclosure controls and procedures (as defined in Rules 13a-15(e) and 15d-15(e) under the Exchange Act), as of the end of the period covered by this Quarterly Report on Form 10-Q. Based on that evaluation, our principal executive officer and principal financial officer have concluded that as of the end of the period covered by this Quarterly Report on Form 10-Q, our disclosure controls and procedures were effective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120" w:firstLine="509"/>
        <w:spacing w:after="0" w:line="265"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13a-15(d) and 15d-15(d) of the Exchange Act during our most recent fiscal quarter that have materially affected, or are reasonably likely to materially affect, our internal control over financial reporting.</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our principal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32" w:name="page33"/>
    <w:bookmarkEnd w:id="32"/>
    <w:p>
      <w:pPr>
        <w:spacing w:after="0" w:line="281" w:lineRule="auto"/>
        <w:rPr>
          <w:sz w:val="20"/>
          <w:szCs w:val="20"/>
          <w:color w:val="auto"/>
        </w:rPr>
      </w:pPr>
      <w:r>
        <w:rPr>
          <w:rFonts w:ascii="Times New Roman" w:cs="Times New Roman" w:eastAsia="Times New Roman" w:hAnsi="Times New Roman"/>
          <w:sz w:val="18"/>
          <w:szCs w:val="18"/>
          <w:color w:val="auto"/>
        </w:rPr>
        <w:t>conditions, or the degree of compliance with the policies or procedures may deteriorate. Because of the inherent limitations in a cost-effective control system, misstatements due to error or fraud may occur and not be detected.</w:t>
      </w:r>
    </w:p>
    <w:p>
      <w:pPr>
        <w:spacing w:after="0" w:line="5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092" w:right="81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“Legal Matters” in Note 8 to our condensed consolidated financial statements included in Part I, Item 1 of this Quarterly Report on Form 10-Q.</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4"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our condensed consolidated financial statements and related notes and the section titled “Management’s Discussion and Analysis of Financial Condition and Results of Operations.” The occurrence of any of the events or developments described below could materially and adversely affect our business, financial condition, results of operations, and growth prospects. In such an event, the trading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been growing rapidly over the last several years, which makes it difficult to forecast our future results of operations and increases the risk of your investment.</w:t>
      </w:r>
    </w:p>
    <w:p>
      <w:pPr>
        <w:spacing w:after="0" w:line="50" w:lineRule="exact"/>
        <w:rPr>
          <w:sz w:val="20"/>
          <w:szCs w:val="20"/>
          <w:color w:val="auto"/>
        </w:rPr>
      </w:pPr>
    </w:p>
    <w:p>
      <w:pPr>
        <w:ind w:right="340" w:firstLine="509"/>
        <w:spacing w:after="0" w:line="281" w:lineRule="auto"/>
        <w:rPr>
          <w:sz w:val="20"/>
          <w:szCs w:val="20"/>
          <w:color w:val="auto"/>
        </w:rPr>
      </w:pPr>
      <w:r>
        <w:rPr>
          <w:rFonts w:ascii="Times New Roman" w:cs="Times New Roman" w:eastAsia="Times New Roman" w:hAnsi="Times New Roman"/>
          <w:sz w:val="18"/>
          <w:szCs w:val="18"/>
          <w:color w:val="auto"/>
        </w:rPr>
        <w:t>Our revenue was $276.3 million for the fiscal year ended December 31, 2023 and $72.6 and $66.5 million for the three months ended March 31, 2024 and 2023, respectively. However, you should not rely on our historical revenue growth as an indication of our future performance.</w:t>
      </w:r>
    </w:p>
    <w:p>
      <w:pPr>
        <w:spacing w:after="0" w:line="163"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8"/>
          <w:szCs w:val="18"/>
          <w:color w:val="auto"/>
        </w:rPr>
        <w:t>As a result of our limited operating history and our rapid growth over the last several years, our ability to accurately forecast our future results of operations is limited and subject to a number of uncertainties, including our ability to effectively plan for and model future growth.</w:t>
      </w:r>
    </w:p>
    <w:p>
      <w:pPr>
        <w:spacing w:after="0" w:line="163"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Our revenue growth rate may decline over time. In future periods, our revenue growth could slow or our revenue could decline for a number of reasons, including slowing demand for our Digital Analytics Platform, increased competition, changes to technology, a decrease in the growth of our overall market, or our failure, for any reason, to manage our growth effectively or to continue to take advantage of growth opportunities. We have also encountered, and will continue to encounter, risks and uncertainties frequently experienced by growing companies in rapidly changing industries, such as the risks and uncertainties described in this Quarterly Report on Form 10-Q. If our assumptions regarding these risks and uncertainties and our future revenue growth are incorrect or change, or if we do not address these risks successfully, our financial condition and results of operations could differ materially from our expectations, and our business could be materially adversely affected.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As our costs increase, we may not be able to generate sufficient revenue to achieve and sustain profitability.</w:t>
      </w:r>
    </w:p>
    <w:p>
      <w:pPr>
        <w:spacing w:after="0" w:line="12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We have experienced net losses in each period since inception. We generated net losses of $90.4 million for the fiscal year ended December 31, 2023 and $21.5 million and $26.3 million for the three months ended March 31, 2024 and 2023, respectively. As of March 31, 2024, we had an accumulated deficit of $385.0 million. We expect our costs and expenses to increase in future periods. In particular, we intend to continue to invest significant resources in:</w:t>
      </w:r>
    </w:p>
    <w:p>
      <w:pPr>
        <w:spacing w:after="0" w:line="74" w:lineRule="exact"/>
        <w:rPr>
          <w:sz w:val="20"/>
          <w:szCs w:val="20"/>
          <w:color w:val="auto"/>
        </w:rPr>
      </w:pPr>
    </w:p>
    <w:p>
      <w:pPr>
        <w:ind w:left="1020" w:right="580" w:hanging="504"/>
        <w:spacing w:after="0" w:line="312" w:lineRule="auto"/>
        <w:tabs>
          <w:tab w:leader="none" w:pos="10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of our Digital Analytics Platform, including investments in our research and development team, the development or acquisition of new products, features, and functionality, and improvements to the scalability, availability, and security of our platform;</w:t>
      </w:r>
    </w:p>
    <w:p>
      <w:pPr>
        <w:spacing w:after="0" w:line="31" w:lineRule="exact"/>
        <w:rPr>
          <w:rFonts w:ascii="Times New Roman" w:cs="Times New Roman" w:eastAsia="Times New Roman" w:hAnsi="Times New Roman"/>
          <w:sz w:val="17"/>
          <w:szCs w:val="17"/>
          <w:color w:val="auto"/>
        </w:rPr>
      </w:pPr>
    </w:p>
    <w:p>
      <w:pPr>
        <w:ind w:left="1020" w:right="600" w:hanging="504"/>
        <w:spacing w:after="0" w:line="28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infrastructure, including expansion of our activities in third-party data centers that we may lease, enhancements to our network operations and infrastructure, and hiring of additional employees;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international expansion, in an effort to increase our customer base and sales;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legal, accounting, and other expenses.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34" w:name="page35"/>
    <w:bookmarkEnd w:id="34"/>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In addition, part of our business strategy is to focus on our long-term growth. As a result, our profitability may be lower in the near term than it would be if our strategy was to maximize short-term profitability. Significant expenditures on sales and marketing efforts, expanding our platform, products, features, and functionality, and expanding our research and development, each of which we intend to continue to invest in, may not ultimately grow our business or result in long-term profitability. If we are ultimately unable to achieve profitability at the level anticipated by industry or financial analysts and our stockholders, the trading price of our Class A common stock may decline.</w:t>
      </w:r>
    </w:p>
    <w:p>
      <w:pPr>
        <w:spacing w:after="0" w:line="182"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Our efforts to grow our business may be costlier than we expect, or our revenue growth rate may be slower than we expect, and we may not be able to increase our revenue enough to offset the increase in operating expenses resulting from these investments. If we are unable to continue to grow our revenue, the value of our business and Class A common stock may significantly decrease.</w:t>
      </w:r>
    </w:p>
    <w:p>
      <w:pPr>
        <w:spacing w:after="0" w:line="28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existing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p>
    <w:p>
      <w:pPr>
        <w:spacing w:after="0" w:line="6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order for us to maintain or improve our revenue growth and our results of operations, it is important that our customers renew their subscriptions when existing contract terms expire and that we expand our commercial relationships with our existing customers and attract new customers. We also seek to convert customers on our free-tier, self-service option to paid subscription contracts. Our customers have no obligation to renew their subscriptions, and our customers may not renew their subscriptions with similar contract periods or at all. Some of our customers have elected not to renew their agreements with us, and it is difficult to accurately predict long-term customer retention. In addition, our ability to attract new customers will depend on market acceptance of our Digital Analytics Platform and the successful implementation of our marketing strategy.</w:t>
      </w:r>
    </w:p>
    <w:p>
      <w:pPr>
        <w:spacing w:after="0" w:line="18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customer retention and expansion and the rate at which we attract new customers may decline or fluctuate as a result of a number of factors, including our customers’ satisfaction with our Digital Analytics Platform, our support capabilities, our prices and pricing plans, the prices and value of competing products, reductions in our customers’ spending levels, new product releases, mergers and acquisitions affecting our customer base, or the effects of global economic conditions. We may be unable to timely address any retention issues with specific customers, which could materially adversely affect our results of operations. If our customers do not purchase additional subscriptions or renew their subscriptions, or if they renew on less favorable terms, or if we are unable to attract new customers, our revenue may decline or grow less quickly, which would materially adversely affect our business, financial condition, and results of operations.</w:t>
      </w:r>
    </w:p>
    <w:p>
      <w:pPr>
        <w:spacing w:after="0" w:line="29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financial results and key metrics, making it difficult to project future results. If we fail to meet the expectations of securities analysts or investors with respect to our results of operations, the trading price of our Class A common stock could decline.</w:t>
      </w:r>
    </w:p>
    <w:p>
      <w:pPr>
        <w:spacing w:after="0" w:line="50"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Our results of operations and key metrics have fluctuated in the past and are expected to fluctuate in the future due to a variety of factors, many of which are outside of our control. As a result, our past results may not be indicative of our future performance. In addition to the other risks described herein, other factors that may cause our results of operations or key metrics to fluctuate include:</w:t>
      </w:r>
    </w:p>
    <w:p>
      <w:pPr>
        <w:spacing w:after="0" w:line="69" w:lineRule="exact"/>
        <w:rPr>
          <w:sz w:val="20"/>
          <w:szCs w:val="20"/>
          <w:color w:val="auto"/>
        </w:rPr>
      </w:pPr>
    </w:p>
    <w:p>
      <w:pPr>
        <w:ind w:left="1020" w:right="80" w:hanging="504"/>
        <w:spacing w:after="0" w:line="28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or pricing of, our Digital Analytics Platform, including as a result of our introduction of new products, features, and functionality;</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usage of our Digital Analytics Platform;</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customers;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expansion rates;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new products, features, and functionality;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customers’ purchases;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speed with which customers are able to migrate data onto our platform after purchasing capacity;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awareness of our brand on a global basis;</w:t>
      </w:r>
    </w:p>
    <w:p>
      <w:pPr>
        <w:spacing w:after="0" w:line="116"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or delays in purchasing decisions in anticipation of new products, features, or functionality developed or acquired by us or our competitors;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 and in the timing of their budget cycles and purchasing decisions;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00" w:right="459" w:bottom="1440" w:gutter="0" w:footer="0" w:header="0"/>
        </w:sectPr>
      </w:pPr>
    </w:p>
    <w:bookmarkStart w:id="35" w:name="page36"/>
    <w:bookmarkEnd w:id="35"/>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16" w:lineRule="exact"/>
        <w:rPr>
          <w:rFonts w:ascii="Times New Roman" w:cs="Times New Roman" w:eastAsia="Times New Roman" w:hAnsi="Times New Roman"/>
          <w:sz w:val="18"/>
          <w:szCs w:val="18"/>
          <w:color w:val="auto"/>
        </w:rPr>
      </w:pPr>
    </w:p>
    <w:p>
      <w:pPr>
        <w:ind w:left="1020" w:right="60" w:hanging="504"/>
        <w:spacing w:after="0" w:line="28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our cloud computing infrastructure, particularly the cloud services provided by Amazon Web Services (“AWS”);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and sales and marketing expenses;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stock-based compensation, goodwill impairments, and other non-cash charges;</w:t>
      </w:r>
    </w:p>
    <w:p>
      <w:pPr>
        <w:spacing w:after="0" w:line="116" w:lineRule="exact"/>
        <w:rPr>
          <w:rFonts w:ascii="Times New Roman" w:cs="Times New Roman" w:eastAsia="Times New Roman" w:hAnsi="Times New Roman"/>
          <w:sz w:val="18"/>
          <w:szCs w:val="18"/>
          <w:color w:val="auto"/>
        </w:rPr>
      </w:pPr>
    </w:p>
    <w:p>
      <w:pPr>
        <w:ind w:left="1020" w:right="360" w:hanging="504"/>
        <w:spacing w:after="0" w:line="28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and complete, and the effects of, mergers, acquisitions, or strategic partnerships, and the ensuing integration efforts;</w:t>
      </w:r>
    </w:p>
    <w:p>
      <w:pPr>
        <w:spacing w:after="0" w:line="116" w:lineRule="exact"/>
        <w:rPr>
          <w:rFonts w:ascii="Times New Roman" w:cs="Times New Roman" w:eastAsia="Times New Roman" w:hAnsi="Times New Roman"/>
          <w:sz w:val="18"/>
          <w:szCs w:val="18"/>
          <w:color w:val="auto"/>
        </w:rPr>
      </w:pPr>
    </w:p>
    <w:p>
      <w:pPr>
        <w:jc w:val="both"/>
        <w:ind w:left="1020" w:right="420" w:hanging="504"/>
        <w:spacing w:after="0" w:line="265"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and industry conditions (including the current inflationary economic environment, rising interest rates, and a potential recession), both domestically and internationally, as well as economic conditions specifically affecting industries in which our customers participate, and related difficulties in collections;</w:t>
      </w:r>
    </w:p>
    <w:p>
      <w:pPr>
        <w:spacing w:after="0" w:line="69" w:lineRule="exact"/>
        <w:rPr>
          <w:rFonts w:ascii="Times New Roman" w:cs="Times New Roman" w:eastAsia="Times New Roman" w:hAnsi="Times New Roman"/>
          <w:sz w:val="18"/>
          <w:szCs w:val="18"/>
          <w:color w:val="auto"/>
        </w:rPr>
      </w:pPr>
    </w:p>
    <w:p>
      <w:pPr>
        <w:ind w:left="1020" w:right="100" w:hanging="504"/>
        <w:spacing w:after="0" w:line="260"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adverse impact of climate change, natural disasters, health epidemics (such as the COVID-19 pandemic or similar outbreaks of disease), political and social instability, including acts of war or other armed conflicts (including the war in Ukraine and the conflict in the Middle East), and terrorist activities, on our business, operations, and the markets and communities in which we and our customers and partners operate and the disruption these events may cause to the global economy;</w:t>
      </w:r>
    </w:p>
    <w:p>
      <w:pPr>
        <w:spacing w:after="0" w:line="7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116" w:lineRule="exact"/>
        <w:rPr>
          <w:rFonts w:ascii="Times New Roman" w:cs="Times New Roman" w:eastAsia="Times New Roman" w:hAnsi="Times New Roman"/>
          <w:sz w:val="18"/>
          <w:szCs w:val="18"/>
          <w:color w:val="auto"/>
        </w:rPr>
      </w:pPr>
    </w:p>
    <w:p>
      <w:pPr>
        <w:ind w:left="1020" w:right="160" w:hanging="504"/>
        <w:spacing w:after="0" w:line="265"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or legal environments that may cause us to incur, among other things, expenses associated with compliance, particularly with respect to compliance with evolving privacy and data protection laws and regulations, as well as export control, economic and trade sanctions, anti-corruption, and anti-money laundering laws;</w:t>
      </w:r>
    </w:p>
    <w:p>
      <w:pPr>
        <w:spacing w:after="0" w:line="69" w:lineRule="exact"/>
        <w:rPr>
          <w:rFonts w:ascii="Times New Roman" w:cs="Times New Roman" w:eastAsia="Times New Roman" w:hAnsi="Times New Roman"/>
          <w:sz w:val="18"/>
          <w:szCs w:val="18"/>
          <w:color w:val="auto"/>
        </w:rPr>
      </w:pPr>
    </w:p>
    <w:p>
      <w:pPr>
        <w:ind w:left="1020" w:right="480" w:hanging="504"/>
        <w:spacing w:after="0" w:line="28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tax rate for our business, which may be affected by the mix of income we earn in the United States and in jurisdictions with comparatively lower tax rates, the effects of stock-based compensation, and the effects of changes in our business;</w:t>
      </w:r>
    </w:p>
    <w:p>
      <w:pPr>
        <w:spacing w:after="0" w:line="54" w:lineRule="exact"/>
        <w:rPr>
          <w:rFonts w:ascii="Times New Roman" w:cs="Times New Roman" w:eastAsia="Times New Roman" w:hAnsi="Times New Roman"/>
          <w:sz w:val="18"/>
          <w:szCs w:val="18"/>
          <w:color w:val="auto"/>
        </w:rPr>
      </w:pPr>
    </w:p>
    <w:p>
      <w:pPr>
        <w:ind w:left="1020" w:right="80" w:hanging="504"/>
        <w:spacing w:after="0" w:line="28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tax laws or judicial or regulatory interpretations of tax laws, which are recorded in the period such laws are enacted or interpretations are issued and may significantly affect the effective tax rate of that period;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changes in the proportion of our revenue and expenses denominated in foreign currencies;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customers;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platform.</w:t>
      </w:r>
    </w:p>
    <w:p>
      <w:pPr>
        <w:spacing w:after="0" w:line="225"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If our results of operations fall below the expectations of investors and securities analysts who follow our stock, the trading price of our Class A common stock could decline substantially, and we could face costly lawsuits, including securities class action litigation.</w:t>
      </w:r>
    </w:p>
    <w:p>
      <w:pPr>
        <w:spacing w:after="0" w:line="28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focus on sales to larger organizations and may become more dependent on those relationships, which may increase the variability of our sales cycle and our results of operations.</w:t>
      </w:r>
    </w:p>
    <w:p>
      <w:pPr>
        <w:spacing w:after="0" w:line="50"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As we continue to focus on, and may become more dependent on, sales to larger organizations, we expect our sales cycle to lengthen and become less predictable. We plan our expenses based on certain assumptions about the length and variability of our sales cycle. These assumptions are based upon historical trends for sales cycles and conversion rates associated with our existing customers. Any shift in our sales cycle may adversely affect our financial results. Factors that may influence the length and variability of our sales cycle include:</w:t>
      </w:r>
    </w:p>
    <w:p>
      <w:pPr>
        <w:spacing w:after="0" w:line="74" w:lineRule="exact"/>
        <w:rPr>
          <w:sz w:val="20"/>
          <w:szCs w:val="20"/>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educate prospective customers about the uses and benefits of our Digital Analytics Platform;</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discretionary nature of purchasing and budget cycles and decisions;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nature of evaluation and purchasing processes;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2" w:right="379" w:bottom="1440" w:gutter="0" w:footer="0" w:header="0"/>
        </w:sectPr>
      </w:pPr>
    </w:p>
    <w:bookmarkStart w:id="36" w:name="page37"/>
    <w:bookmarkEnd w:id="36"/>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functionality demands;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planned introductions of new products, features, or functionality by us or our competitors;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lengthy purchasing approval processes.</w:t>
      </w:r>
    </w:p>
    <w:p>
      <w:pPr>
        <w:spacing w:after="0" w:line="225"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Our increasing dependence on sales to larger organizations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w:t>
      </w:r>
    </w:p>
    <w:p>
      <w:pPr>
        <w:spacing w:after="0" w:line="28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recognize revenue over the term of our customer contracts. Consequently, downturns or upturns in new sales may not be immediately reflected in our results of operations and may be difficult to discern.</w:t>
      </w:r>
    </w:p>
    <w:p>
      <w:pPr>
        <w:spacing w:after="0" w:line="5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generally recognize subscription revenue from customers ratably over the contracted period. As a result, a portion of the revenue we report in each quarter is derived from the recognition of deferred revenue relating to subscriptions entered into during previous quarters. Consequently, a decline in new or renewed subscriptions in a given quarter may have a small impact on our revenue results for that quarter. However, such a decline will negatively affect our revenue in future quarters. Accordingly, the effect of significant downturns in sales and market acceptance of our Digital Analytics Platform, including as a result of a general economic downturn, and potential changes in our pricing policies or rate of customer expansion or retention, may not be fully reflected in our results of operations until future periods. We may also be unable to reduce our cost structure in line with a significant deterioration in sales. In addition, a significant majority of our costs are expensed as incurred, while revenue is recognized over the contracted period of the agreement with our customer. As a result, increased growth in the number of our customers could continue to result in our recognition of more costs than revenue in the earlier periods of the terms of our customer agreements. Our subscription model also makes it difficult for us to rapidly increase our revenue through additional sales in any period, as revenue from new customers must be recognized over the applicable subscription term.</w:t>
      </w:r>
    </w:p>
    <w:p>
      <w:pPr>
        <w:spacing w:after="0" w:line="29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our industry or the global economy, or reductions in software spending, could limit our ability to grow our business and materially adversely affect our business, financial condition, and results of operations.</w:t>
      </w:r>
    </w:p>
    <w:p>
      <w:pPr>
        <w:spacing w:after="0" w:line="50" w:lineRule="exact"/>
        <w:rPr>
          <w:sz w:val="20"/>
          <w:szCs w:val="20"/>
          <w:color w:val="auto"/>
        </w:rPr>
      </w:pPr>
    </w:p>
    <w:p>
      <w:pPr>
        <w:ind w:right="40" w:firstLine="509"/>
        <w:spacing w:after="0" w:line="251" w:lineRule="auto"/>
        <w:rPr>
          <w:sz w:val="20"/>
          <w:szCs w:val="20"/>
          <w:color w:val="auto"/>
        </w:rPr>
      </w:pPr>
      <w:r>
        <w:rPr>
          <w:rFonts w:ascii="Times New Roman" w:cs="Times New Roman" w:eastAsia="Times New Roman" w:hAnsi="Times New Roman"/>
          <w:sz w:val="18"/>
          <w:szCs w:val="18"/>
          <w:color w:val="auto"/>
        </w:rPr>
        <w:t>Our results of operations may vary based on the impact of changes in our industry or the global economy on us or our customers or potential customers. Our ability to grow our revenue and the profitability of our business depends, in part, on demand for software applications generally. Historically, during economic downturns there have been reductions in spending on software applications and services generally, as well as pressure for extended billing terms and other financial concessions. To the extent that economic conditions deteriorate in the United States or abroad, including as a result of inflationary pressures and the responses by central banking authorities to control such inflation, rising interest rates, debt and equity market fluctuations, bank failures, diminished liquidity and credit availability, increased unemployment rates, decreased investor and consumer confidence, political turmoil, supply chain challenges, natural catastrophes and the effects of climate change, regional and global conflicts, and terrorist attacks on the United States, Europe, the Middle East, the Asia-Pacific region, or elsewhere, our customers and prospective customers may go out of business or elect to decrease their budgets, which would limit our ability to grow our business and materially adversely affect our financial condition and results of operations. For example, high levels of inflation and rising interest rates, as recently experienced in the United States, may impact businesses across many industries, including ours, by increasing the costs of labor, employee healthcare, components, and freight and shipping, which may further constrain our customers’ or prospective customers’ budgets. To the extent there is a sustained general economic downturn and our Digital Analytics Platform is perceived by customers or potential customers as costly, or too difficult to deploy or migrate to, our revenue may be disproportionately affected by delays or reductions in spending on software applications. In addition, our competitors, many of whom are larger and have greater financial resources than we do, may respond to challenging market conditions by lowering prices in an attempt to attract our customers or prospective customers, and they may be less dependent on key industry events to generate sales for their products. Further, macroeconomic uncertainty may result in an increased pace of consolidation in certain industries. If this were to occur, such consolidation may result in reduced overall spending on our services, particularly if our customers are acquired by organizations that do not use our services. In connection with unfavorable macroeconomic conditions and the related impact on our customers, in April 2023, we authorized a restructuring plan to reduce our global workforce by approximately 13%. We cannot predict the timing, strength, or duration of any economic slowdown, instability, or recovery, generally or within any particular industry. If the economic conditions of the general economy or markets in which we operate worsen from present levels, our business, financial condition, and results of operations could be materially adversely affected.</w:t>
      </w:r>
    </w:p>
    <w:p>
      <w:pPr>
        <w:spacing w:after="0" w:line="30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restructuring plan may not result in anticipated savings or operational efficiencies and could result in total costs and expenses that are greater than expected, which could materially adversely affect our business, financial condition and results of operations.</w:t>
      </w:r>
    </w:p>
    <w:p>
      <w:pPr>
        <w:spacing w:after="0" w:line="50"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auto"/>
        </w:rPr>
        <w:t>In April 2023, we authorized a restructuring plan to reduce our global workforce, which is intended to improve operational efficiencies and reduce operating costs, which we believe will allow us to scale for the future, continue our path to profitability, and deliver on our long-term vision. In connection with this reduction in our workforce, we incurred non-recurring charges of $8.1 million in the year ended December 31, 2023.</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37" w:name="page38"/>
    <w:bookmarkEnd w:id="37"/>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restructuring plan may result in unintended consequences and costs, such as the loss of institutional knowledge and expertise, decreased morale among our remaining employees, and the risk that we may not achieve the anticipated benefits and savings, in full or in part, of the workforce reduction. Moreover, if employees who were not affected by the workforce reduction seek alternative employment, this could result in unplanned additional expense to ensure adequate resourcing or harm our productivity. In addition, while positions have been eliminated, certain functions necessary to our operations remain, and we may be unsuccessful in distributing the duties and obligations of departed employees among our remaining employees. The workforce reduction could also make it difficult for us to pursue, or prevent us from pursuing, new opportunities and initiatives due to insufficient personnel, or require us to incur additional and unanticipated costs to hire new personnel to pursue such opportunities or initiatives. If we are unable to realize the anticipated benefits from our restructuring plan, or if we experience significant adverse consequences from the workforce reduction, our business, financial condition, and results of operations could be materially adversely affected.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market for SaaS applications develops more slowly than we expect or declines, our business would be materially adversely affected.</w:t>
      </w:r>
    </w:p>
    <w:p>
      <w:pPr>
        <w:spacing w:after="0" w:line="121"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Our success will depend to a substantial extent on the widespread adoption of SaaS applications in general, and of SaaS applications that look to solve aspects of digital analytics. Many organizations have invested substantial personnel and financial resources to integrate traditional on-premise business software applications into their businesses, and therefore may be reluctant or unwilling to migrate to SaaS applications. It is difficult to predict customer adoption rates and demand for our Digital Analytics Platform, the future growth rate and size of the SaaS applications market, or the entry of competitive applications. The expansion of the SaaS applications market depends on a number of factors, including the cost, performance, and perceived value associated with SaaS, as well as the ability of SaaS providers to address data security and privacy concerns. Additionally, government agencies have adopted, or may adopt, laws and regulations, and companies have adopted and may adopt policies regarding the collection and use of personal information obtained from consumers and other individuals, or may seek to access information on our platform, either of which may reduce the overall demand for our Digital Analytics Platform. If we or other SaaS providers experience data security incidents, loss of customer data, disruptions in delivery, or other problems, the market for SaaS applications, including our Digital Analytics Platform, may be negatively affected. If SaaS applications do not continue to achieve market acceptance, or there is a reduction in demand for SaaS applications caused by a lack of customer acceptance, technological challenges, weakening economic conditions, data security or privacy concerns, governmental regulation, competing technologies and products, or decreases in spending on SaaS applications, it would result in decreased revenue and our business, financial condition, and results of operations would be materially adversely affected.</w:t>
      </w:r>
    </w:p>
    <w:p>
      <w:pPr>
        <w:spacing w:after="0" w:line="29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in which we operate is highly competitive, and if we do not compete effectively, our business, financial condition, and results of operations could be materially adversely affected.</w:t>
      </w:r>
    </w:p>
    <w:p>
      <w:pPr>
        <w:spacing w:after="0" w:line="50"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The market for applications that look to address digital analytics is fragmented, rapidly evolving, and highly competitive, with relatively low barriers to entry. As this market continues to mature and new technologies and competitors enter the market, we expect competition to intensify. We face competition from:</w:t>
      </w:r>
    </w:p>
    <w:p>
      <w:pPr>
        <w:spacing w:after="0" w:line="69" w:lineRule="exact"/>
        <w:rPr>
          <w:sz w:val="20"/>
          <w:szCs w:val="20"/>
          <w:color w:val="auto"/>
        </w:rPr>
      </w:pPr>
    </w:p>
    <w:p>
      <w:pPr>
        <w:ind w:left="1020" w:right="200" w:hanging="504"/>
        <w:spacing w:after="0" w:line="265"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companies that have greater name recognition, much longer operating histories, more established customers and commercial partners, and significantly greater resources than we do, such as larger sales forces and marketing budgets, broader distribution networks and global presence, and more mature intellectual property portfolios;</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in-house software systems;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integrated systems vendors;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smaller companies offering alternative SaaS applications;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emerging entrants seeking to develop competing technologies.</w:t>
      </w:r>
    </w:p>
    <w:p>
      <w:pPr>
        <w:spacing w:after="0" w:line="225"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Our competitors may be able to respond more quickly and effectively than we can to new or changing opportunities, technologies, standards, or customer requirements. With the introduction of new technologies, the evolution of our Digital Analytics Platform, and new market entrants, we expect competition to intensify in the future. Pricing pressures and increased competition generally could result in reduced sales, reduced margins, financial losses, or the failure of our Digital Analytics Platform to achieve or maintain more widespread market acceptance, any of which could harm our business.</w:t>
      </w:r>
    </w:p>
    <w:p>
      <w:pPr>
        <w:spacing w:after="0" w:line="182" w:lineRule="exact"/>
        <w:rPr>
          <w:sz w:val="20"/>
          <w:szCs w:val="20"/>
          <w:color w:val="auto"/>
        </w:rPr>
      </w:pPr>
    </w:p>
    <w:p>
      <w:pPr>
        <w:ind w:right="240" w:firstLine="509"/>
        <w:spacing w:after="0" w:line="260" w:lineRule="auto"/>
        <w:rPr>
          <w:sz w:val="20"/>
          <w:szCs w:val="20"/>
          <w:color w:val="auto"/>
        </w:rPr>
      </w:pPr>
      <w:r>
        <w:rPr>
          <w:rFonts w:ascii="Times New Roman" w:cs="Times New Roman" w:eastAsia="Times New Roman" w:hAnsi="Times New Roman"/>
          <w:sz w:val="18"/>
          <w:szCs w:val="18"/>
          <w:color w:val="auto"/>
        </w:rPr>
        <w:t>Our competitors vary in size and in the breadth and scope of the products and services they offer. Further, other established SaaS providers not currently focused on digital analytics may expand their services to compete with us. Many of our current and potential competitors have established marketing relationships, access to larger customer bases, pre-existing customer relationships, and major distribution agreements with consultants, system integrators, and resellers. Certain of our competitors have partnered with,</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8" w:name="page39"/>
    <w:bookmarkEnd w:id="38"/>
    <w:p>
      <w:pPr>
        <w:ind w:right="80"/>
        <w:spacing w:after="0" w:line="260" w:lineRule="auto"/>
        <w:rPr>
          <w:sz w:val="20"/>
          <w:szCs w:val="20"/>
          <w:color w:val="auto"/>
        </w:rPr>
      </w:pPr>
      <w:r>
        <w:rPr>
          <w:rFonts w:ascii="Times New Roman" w:cs="Times New Roman" w:eastAsia="Times New Roman" w:hAnsi="Times New Roman"/>
          <w:sz w:val="18"/>
          <w:szCs w:val="18"/>
          <w:color w:val="auto"/>
        </w:rPr>
        <w:t>or have acquired, and may in the future partner with or acquire, other competitors to offer services, leveraging their collective competitive positions, which makes, or would make, it more difficult to compete with them. For all of these reasons, we may not be able to compete successfully against our current and future competitors, which would harm our business. For more information about the competitive landscape in which we operate, see “Part I, Item 1. Business—Competition” in our 2023 Form 10-K.</w:t>
      </w:r>
    </w:p>
    <w:p>
      <w:pPr>
        <w:spacing w:after="0" w:line="28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innovate in response to changing customer needs and technology developments and other market requirements, our business, financial condition, and results of operations would be materially adversely affected.</w:t>
      </w:r>
    </w:p>
    <w:p>
      <w:pPr>
        <w:spacing w:after="0" w:line="5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ability to attract new customers and retain and increase revenue from existing customers depends in large part on our ability to enhance and improve our Digital Analytics Platform and to introduce new products, features, and functionality. In order to grow our business, we must develop products, features, and functionality that reflect the changing needs of customers, and we believe that the pace of innovation will continue to accelerate. The success of any enhancement to our Digital Analytics Platform depends on several factors, including timely completion, adequate quality testing, and market acceptance. Any new product, feature, or functionality that we develop may not be introduced in a timely or cost-effective manner, may contain defects, or may not achieve the market acceptance necessary to generate sufficient revenue. If we are unable to successfully develop new products, features or functionality, enhance our Digital Analytics Platform to meet customer requirements, or otherwise gain market acceptance, our business, financial condition, and results of operations could be materially adversely affected.</w:t>
      </w:r>
    </w:p>
    <w:p>
      <w:pPr>
        <w:spacing w:after="0" w:line="18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Because our Digital Analytics Platform is available over the internet, we need to continuously modify and enhance it to keep pace with changes in internet-related hardware, software, analytics, and database technologies and standards. In addition, we need to continue to invest in technologies, services, and partnerships that increase the types of data processed on our platform and the ease with which customers can send data into our platform. We must also continue to enhance our data sharing and data exchange capabilities so customers can share their data with internal business units, customers, and other third parties. In addition, our platform requires third-party public cloud infrastructure to operate. We must continue to innovate to optimize our offerings for these and other public clouds that our customers require, particularly as we expand internationally. Further, the markets in which we compete are subject to evolving industry standards and regulations, resulting in increasing data governance and compliance requirements for us and our customers. To the extent we expand into the public sector and other highly regulated industries, our Digital Analytics Platform may need to address additional requirements specific to those industries.</w:t>
      </w:r>
    </w:p>
    <w:p>
      <w:pPr>
        <w:spacing w:after="0" w:line="186" w:lineRule="exact"/>
        <w:rPr>
          <w:sz w:val="20"/>
          <w:szCs w:val="20"/>
          <w:color w:val="auto"/>
        </w:rPr>
      </w:pPr>
    </w:p>
    <w:p>
      <w:pPr>
        <w:jc w:val="both"/>
        <w:ind w:right="120" w:firstLine="509"/>
        <w:spacing w:after="0" w:line="265" w:lineRule="auto"/>
        <w:rPr>
          <w:sz w:val="20"/>
          <w:szCs w:val="20"/>
          <w:color w:val="auto"/>
        </w:rPr>
      </w:pPr>
      <w:r>
        <w:rPr>
          <w:rFonts w:ascii="Times New Roman" w:cs="Times New Roman" w:eastAsia="Times New Roman" w:hAnsi="Times New Roman"/>
          <w:sz w:val="18"/>
          <w:szCs w:val="18"/>
          <w:color w:val="auto"/>
        </w:rPr>
        <w:t>If we are unable to enhance our Digital Analytics Platform to keep pace with these rapidly evolving customer requirements, or if new technologies emerge that are able to deliver competitive products at lower prices, more efficiently, more conveniently, or more securely than our platform, our business, financial condition, and results of operations would be materially adversely affected.</w:t>
      </w:r>
    </w:p>
    <w:p>
      <w:pPr>
        <w:spacing w:after="0" w:line="17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properly develop, invest in, and manage AI Technologies used in our products and services, our business, financial condition, and results of operations could be materially adversely affected.</w:t>
      </w:r>
    </w:p>
    <w:p>
      <w:pPr>
        <w:spacing w:after="0" w:line="158" w:lineRule="exact"/>
        <w:rPr>
          <w:sz w:val="20"/>
          <w:szCs w:val="20"/>
          <w:color w:val="auto"/>
        </w:rPr>
      </w:pPr>
    </w:p>
    <w:p>
      <w:pPr>
        <w:jc w:val="both"/>
        <w:ind w:right="140" w:firstLine="509"/>
        <w:spacing w:after="0" w:line="265" w:lineRule="auto"/>
        <w:rPr>
          <w:sz w:val="20"/>
          <w:szCs w:val="20"/>
          <w:color w:val="auto"/>
        </w:rPr>
      </w:pPr>
      <w:r>
        <w:rPr>
          <w:rFonts w:ascii="Times New Roman" w:cs="Times New Roman" w:eastAsia="Times New Roman" w:hAnsi="Times New Roman"/>
          <w:sz w:val="18"/>
          <w:szCs w:val="18"/>
          <w:color w:val="auto"/>
        </w:rPr>
        <w:t>We have incorporated, and expect in the future we will continue to incorporate, machine learning and generative artificial intelligence technologies (collectively, “AI Technologies”) into our product offerings. We offer our customers a suite of AI Technologies that help them achieve data insights faster. For example, we leverage large language models (“LLMs”) in certain features to aid customers in analyzing their product data.</w:t>
      </w:r>
    </w:p>
    <w:p>
      <w:pPr>
        <w:spacing w:after="0" w:line="177" w:lineRule="exact"/>
        <w:rPr>
          <w:sz w:val="20"/>
          <w:szCs w:val="20"/>
          <w:color w:val="auto"/>
        </w:rPr>
      </w:pPr>
    </w:p>
    <w:p>
      <w:pPr>
        <w:jc w:val="both"/>
        <w:ind w:right="40" w:firstLine="509"/>
        <w:spacing w:after="0" w:line="265" w:lineRule="auto"/>
        <w:rPr>
          <w:sz w:val="20"/>
          <w:szCs w:val="20"/>
          <w:color w:val="auto"/>
        </w:rPr>
      </w:pPr>
      <w:r>
        <w:rPr>
          <w:rFonts w:ascii="Times New Roman" w:cs="Times New Roman" w:eastAsia="Times New Roman" w:hAnsi="Times New Roman"/>
          <w:sz w:val="18"/>
          <w:szCs w:val="18"/>
          <w:color w:val="auto"/>
        </w:rPr>
        <w:t>We expect that increased investment will be required in the future to continuously improve our use of AI Technologies. As with many technological innovations, there are significant risks involved in developing, maintaining, and deploying AI Technologies and there can be no assurance that the usage of, or our investments in, such AI Technologies will always be beneficial to our products or services, or business, including our efficiency or profitability.</w:t>
      </w:r>
    </w:p>
    <w:p>
      <w:pPr>
        <w:spacing w:after="0" w:line="177" w:lineRule="exact"/>
        <w:rPr>
          <w:sz w:val="20"/>
          <w:szCs w:val="20"/>
          <w:color w:val="auto"/>
        </w:rPr>
      </w:pPr>
    </w:p>
    <w:p>
      <w:pPr>
        <w:ind w:right="380" w:firstLine="509"/>
        <w:spacing w:after="0" w:line="260" w:lineRule="auto"/>
        <w:rPr>
          <w:sz w:val="20"/>
          <w:szCs w:val="20"/>
          <w:color w:val="auto"/>
        </w:rPr>
      </w:pPr>
      <w:r>
        <w:rPr>
          <w:rFonts w:ascii="Times New Roman" w:cs="Times New Roman" w:eastAsia="Times New Roman" w:hAnsi="Times New Roman"/>
          <w:sz w:val="18"/>
          <w:szCs w:val="18"/>
          <w:color w:val="auto"/>
        </w:rPr>
        <w:t>We are in varying stages of development in relation to our products involving AI Technologies. The continuous development, maintenance and operation of our AI Technologies is complex, and may involve unforeseen difficulties including material performance problems, undetected defects, or errors. We may not be successful in our ongoing development and maintenance of these technologies in the face of novel and evolving technical, reputational, and market factors.</w:t>
      </w:r>
    </w:p>
    <w:p>
      <w:pPr>
        <w:spacing w:after="0" w:line="182"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Our competitors or other third parties may incorporate AI Technologies into their products more quickly or more successfully than us, which could impair our ability to compete effectively.</w:t>
      </w:r>
    </w:p>
    <w:p>
      <w:pPr>
        <w:spacing w:after="0" w:line="163" w:lineRule="exact"/>
        <w:rPr>
          <w:sz w:val="20"/>
          <w:szCs w:val="20"/>
          <w:color w:val="auto"/>
        </w:rPr>
      </w:pPr>
    </w:p>
    <w:p>
      <w:pPr>
        <w:jc w:val="both"/>
        <w:ind w:right="120" w:firstLine="509"/>
        <w:spacing w:after="0" w:line="260" w:lineRule="auto"/>
        <w:rPr>
          <w:sz w:val="20"/>
          <w:szCs w:val="20"/>
          <w:color w:val="auto"/>
        </w:rPr>
      </w:pPr>
      <w:r>
        <w:rPr>
          <w:rFonts w:ascii="Times New Roman" w:cs="Times New Roman" w:eastAsia="Times New Roman" w:hAnsi="Times New Roman"/>
          <w:sz w:val="18"/>
          <w:szCs w:val="18"/>
          <w:color w:val="auto"/>
        </w:rPr>
        <w:t>We incorporate LLMs (i.e., AI models that can produce and output new data and information) into certain of our products and services. There is a risk that AI Technologies could produce inaccurate or misleading data or other discriminatory or unexpected results or behaviors, all of which could harm our reputation, business, or customer relationships. While we take measures designed to ensure the accuracy of AI-generated insights, those measures may not always be successful, and in some cases, we may need to rely on users to report such inaccuracies.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9" w:name="page40"/>
    <w:bookmarkEnd w:id="39"/>
    <w:p>
      <w:pPr>
        <w:ind w:right="260" w:firstLine="509"/>
        <w:spacing w:after="0" w:line="254" w:lineRule="auto"/>
        <w:rPr>
          <w:sz w:val="20"/>
          <w:szCs w:val="20"/>
          <w:color w:val="auto"/>
        </w:rPr>
      </w:pPr>
      <w:r>
        <w:rPr>
          <w:rFonts w:ascii="Times New Roman" w:cs="Times New Roman" w:eastAsia="Times New Roman" w:hAnsi="Times New Roman"/>
          <w:sz w:val="18"/>
          <w:szCs w:val="18"/>
          <w:color w:val="auto"/>
        </w:rPr>
        <w:t>Additionally, any output data created using AI Technologies, including LLMs, may not be subject to copyright protection which may adversely affect our intellectual property rights in, or ability to commercialize or use, the output data. In the United States, a number of civil lawsuits have been initiated related to the foregoing and other concerns, the outcome of any one of which may, among other things, require us to limit the ways in which we use AI Technologies in our business. While AI-related lawsuits to date have generally focused on the AI service providers themselves, our use of any output produced by AI Technologies may expose us to claims, increasing our risks of liability. For example, the output data produced by certain AI Technologies may include information subject to certain privacy laws or constitute an unauthorized derivative work of the copyrighted material used in training the underlying AI Technology, any of which could also create a risk of liability for us, or adversely affect our customers and our business or operations.</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use AI Technologies licensed from third parties in our products and services and our ability to continue to use such technologies at the scale we need may be dependent on access to specific third-party technology.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solutions or unavailable for use, or if the providers of such models unfavorably change the terms on which their AI Technologies are offered or terminate their relationship with us, our solutions may become less appealing to our customers and our business could be harmed.</w:t>
      </w:r>
    </w:p>
    <w:p>
      <w:pPr>
        <w:spacing w:after="0" w:line="28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relating to the responsible use of our technologies, including AI Technologies in our offerings, may result in reputational or financial harm and liability.</w:t>
      </w:r>
    </w:p>
    <w:p>
      <w:pPr>
        <w:spacing w:after="0" w:line="266"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color w:val="auto"/>
        </w:rPr>
        <w:t>Concerns relating to the responsible use of new and evolving technologies, such as AI Technologies, in our products and services may result in reputational or financial harm and liability and may cause us to incur costs to resolve such issues. AI Technologies pose emerging legal, security, social, and ethical issues and present risks and challenges that could affect adoption, and therefore our business. If we enable or offer solutions that draw controversy due to their perceived or actual impact on society, such as AI Technologies solutions that have unintended consequences, infringe copyright, or are controversial because of their impact on privacy, employment, or other social or economic issues, or if we are unable to develop effective internal policies and frameworks relating to the responsible development and use of AI Technologies within our product offerings, we may experience brand or reputational harm, competitive harm, financial harm, and/or legal liability. Our failure to adequately address concerns and regulations relating to the responsible use of AI Technologies by us or others could undermine public confidence and slow adoption of our products and services or cause reputational or financial harm.</w:t>
      </w:r>
    </w:p>
    <w:p>
      <w:pPr>
        <w:spacing w:after="0" w:line="2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and changes to our business over time, our business, financial condition, and results of operations would be materially adversely affected.</w:t>
      </w:r>
    </w:p>
    <w:p>
      <w:pPr>
        <w:spacing w:after="0" w:line="50" w:lineRule="exact"/>
        <w:rPr>
          <w:sz w:val="20"/>
          <w:szCs w:val="20"/>
          <w:color w:val="auto"/>
        </w:rPr>
      </w:pPr>
    </w:p>
    <w:p>
      <w:pPr>
        <w:ind w:right="60" w:firstLine="509"/>
        <w:spacing w:after="0" w:line="251" w:lineRule="auto"/>
        <w:rPr>
          <w:sz w:val="20"/>
          <w:szCs w:val="20"/>
          <w:color w:val="auto"/>
        </w:rPr>
      </w:pPr>
      <w:r>
        <w:rPr>
          <w:rFonts w:ascii="Times New Roman" w:cs="Times New Roman" w:eastAsia="Times New Roman" w:hAnsi="Times New Roman"/>
          <w:sz w:val="18"/>
          <w:szCs w:val="18"/>
          <w:color w:val="auto"/>
        </w:rPr>
        <w:t>We have experienced, and may continue to experience, rapid growth in our business and operations, which has placed, and may continue to place, significant demands on our management and operational and financial resources. Recent unfavorable conditions in the macroeconomic environment have constrained growth in the economy generally, and in the software industry in particular, and many of our customers have consequently experienced a downturn in their business outlook. As a result of these factors, in April 2023, we approved a restructuring plan to reduce our global workforce to improve operational efficiencies and reduce operating cost. If economic conditions improve, we intend to continue to invest to expand our business, personnel, and operations, which may cause our margins to decline, and any investments we make will occur in advance of experiencing the benefits from such investments, making it difficult to determine in a timely manner if we are efficiently allocating our resources. As usage of our Digital Analytics Platform grows, we will need to devote additional resources to improving our platform’s features and functionality, developing or acquiring new products, and maintaining infrastructure performance. Even if we are able to upgrade our systems and expand our personnel,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In addition, we will need to appropriately scale our internal business systems and our services organization, including customer support, to serve our growing customer base, particularly as our customer demographics change over time. Managing these changes will require significant expenditures and allocation of valuable management resources. If we fail to successfully manage our anticipated growth and changes to our business, the quality of our products may suffer, which could negatively affect our brand and reputation and harm our ability to attract new customers and retain existing customers. As we continue to grow, we may need to implement more complex organizational management structures or adapt our corporate culture and work environments to changing circumstances, which could have an adverse impact on our corporate culture. Any failure to preserve our culture could harm our business, including our ability to retain and recruit personnel, innovate and operate effectively, and execute on our business strategy.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0" w:name="page41"/>
    <w:bookmarkEnd w:id="40"/>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Public health crises, such as pandemics or similar outbreaks, have had, and could in the future have, an adverse impact on our business and operations, and the markets and communities in which we, our partners, and customers operate, and the impact of any public health crisis is difficult to assess or predict.</w:t>
      </w:r>
    </w:p>
    <w:p>
      <w:pPr>
        <w:spacing w:after="0" w:line="6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business and operations, and the businesses and operations of our partners and customers, have been, and could in the future be, adversely impacted by public health crises, including the COVID-19 pandemic. Public health measures implemented to control COVID-19’s spread and severity substantially curtailed the movement of people, goods, and services worldwide, including in regions where we and our partners and customers operate, and significantly impacted economic activity and financial markets. While we have developed, and continue to develop, strategies to help mitigate the negative effects of potential public health crises on our business and operations, such efforts may prove to be insufficient. The duration and extent of the impact of any public health crises cannot be accurately assessed or predicted at this time, and could adversely impact our business, financial condition, and results of operations.</w:t>
      </w:r>
    </w:p>
    <w:p>
      <w:pPr>
        <w:spacing w:after="0" w:line="29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are breached or there is otherwise unauthorized disclosure of or access to customer data, our data, or our platform, our platform may be perceived as insecure, we may lose customers or fail to attract new customers, our reputation and brand may be harmed, and we may incur significant liabilities.</w:t>
      </w:r>
    </w:p>
    <w:p>
      <w:pPr>
        <w:spacing w:after="0" w:line="66"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(collectively, “Confidential Information”) of customers and our employees and contractors. Our platform also stores, transmits, and processes our customers’ proprietary data, including personal or identifying information of their customers or employees. Unauthorized disclosure of, access to, or security breaches of our platform or our information technology systems could result in the loss of Confidential Information, loss of business, severe reputational damage adversely affecting customer or investor confidence, damage to our brand, diversion of management’s attention, regulatory investigations, and orders, litigation, indemnity obligations, damages for contract breach, penalties for violation of applicable laws or regulations, significant costs for remediation that may include liability for stolen assets or information and repair of system damage that may have been caused, incentives offered to customers or other business partners in an effort to maintain business relationships after a breach, and other liabilities. We have incurred, and expect to continue to incur, significant expenses to prevent security breaches, including deploying additional personnel and protection technologies, training employees, and engaging third-party experts and consultants. Even though we do not control the security measures of third parties who may have access to our Confidential Information or our platform, we may be responsible for any breach of such measures or suffer reputational harm even where we do not have recourse to the third party that caused the breach. In addition, any failure by our vendors to comply with applicable law or regulations could result in proceedings against us by governmental entities or others.</w:t>
      </w:r>
    </w:p>
    <w:p>
      <w:pPr>
        <w:spacing w:after="0" w:line="19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There can be no assurance that our cybersecurity risk management program and processes, including our policies, controls or procedures, will be fully implemented, complied with, or effective in protecting our systems and information and despite the implementation of security measures, our information technology systems, as well as those of third parties with which we have relationships, are not fully secure from, and may be vulnerable to, cyberattacks, denial and degradation-of-service attacks, ransomware attacks, business email compromises, computer malware, malicious code, viruses, and social engineering (including phishing) which are prevalent in our industry and our customers’ industries. In addition, we as well as those third parties with which we have relationships, may experience attacks, unavailable systems, unauthorized access to systems or data, or disclosure due to natural disasters, terrorism, war, telecommunication and electrical failures, hacking, employee theft or misuse, human error, fraud, denial and degradation-of-service attacks, sophisticated nation-state and nation-state-supported actors, and advanced persistent threat intrusions. Electronic security attacks designed to gain access to personal, sensitive, or confidential data are increasing in number, constantly evolving, and such attacks continue to grow in sophistication. The techniques used to sabotage, or to obtain unauthorized access to, our platform, information technology systems, networks, or physical facilities in which Confidential Information is stored or through which Confidential Information is transmitted change frequently, and we may be unable to implement adequate preventative measures or stop security breaches while they are occurring.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As a result of our continued hybrid work environment, we may also face increased cybersecurity risks due to our reliance on internet technology and the number of our and our service providers’ employees who are, and may continue, working remotely, which may create additional opportunities for cybercriminals to exploit vulnerabilities. We have previously been, and may in the future become, the target of cyberattacks by third parties seeking unauthorized access to our Confidential Information or to disrupt our operations or ability to provide our services.</w:t>
      </w:r>
    </w:p>
    <w:p>
      <w:pPr>
        <w:spacing w:after="0" w:line="187" w:lineRule="exact"/>
        <w:rPr>
          <w:sz w:val="20"/>
          <w:szCs w:val="20"/>
          <w:color w:val="auto"/>
        </w:rPr>
      </w:pPr>
    </w:p>
    <w:p>
      <w:pPr>
        <w:ind w:right="200" w:firstLine="509"/>
        <w:spacing w:after="0" w:line="260" w:lineRule="auto"/>
        <w:rPr>
          <w:sz w:val="20"/>
          <w:szCs w:val="20"/>
          <w:color w:val="auto"/>
        </w:rPr>
      </w:pPr>
      <w:r>
        <w:rPr>
          <w:rFonts w:ascii="Times New Roman" w:cs="Times New Roman" w:eastAsia="Times New Roman" w:hAnsi="Times New Roman"/>
          <w:sz w:val="18"/>
          <w:szCs w:val="18"/>
          <w:color w:val="auto"/>
        </w:rPr>
        <w:t>We and certain of our vendors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business operations, whether due to a loss, corruption, or unauthorized disclosure of our Confidential Information or other similar disruptions. Such an event could also expose us to risks,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41" w:name="page42"/>
    <w:bookmarkEnd w:id="41"/>
    <w:p>
      <w:pPr>
        <w:ind w:right="180"/>
        <w:spacing w:after="0" w:line="254" w:lineRule="auto"/>
        <w:rPr>
          <w:sz w:val="20"/>
          <w:szCs w:val="20"/>
          <w:color w:val="auto"/>
        </w:rPr>
      </w:pPr>
      <w:r>
        <w:rPr>
          <w:rFonts w:ascii="Times New Roman" w:cs="Times New Roman" w:eastAsia="Times New Roman" w:hAnsi="Times New Roman"/>
          <w:sz w:val="18"/>
          <w:szCs w:val="18"/>
          <w:color w:val="auto"/>
        </w:rPr>
        <w:t>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Because data security is a critical competitive factor in our industry, we make numerous statements in our customer contracts, privacy policies, terms of service, and marketing materials providing assurances about the security of our platform, including detailed descriptions of security measures we employ. Should any of these statements be untrue or become untrue, even in circumstances beyond our reasonable control, we may face claims of misrepresentation or deceptiveness by the U.S. Federal Trade Commission (the “FTC”), state, federal, and foreign regulators, and private litigants.</w:t>
      </w:r>
    </w:p>
    <w:p>
      <w:pPr>
        <w:spacing w:after="0" w:line="186"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Further, we have contractual and legal obligations to notify relevant stakeholders of security breaches. Most jurisdictions have enacted laws requiring companies to notify individuals, regulatory authorities, and others of security incidents or data breaches involving certain types of data. For example, we are subject to an increasing number of reporting obligations in respect of material cybersecurity incidents. These reporting requirements have been proposed or implemented by a number of regulators in different jurisdictions, may vary in their scope and application, and could contain conflicting requirements. Certain of these rules and regulations may require us to report a cybersecurity incident before we have been able to fully assess its impact or remediate the underlying issue. Efforts to comply with such reporting requirements could divert management’s attention from our incident response and could potentially reveal system vulnerabilities to threat actors. Failure to timely report incidents under these rules could also result in monetary fines, sanctions, or subject us to other forms of liability. In addition, our agreements with certain customers may require us to notify them in the event of a security incident or data breach. Such mandatory disclosures are costly, could lead to negative publicity, may cause our customers to lose confidence in the effectiveness of our security measures, and require us to expend significant capital and other resources to respond to, or alleviate problems caused by, the actual or perceived security incident or data breach and otherwise comply with the multitude of foreign, federal, state, and local laws and regulations relating to the unauthorized access to, or use or disclosure of, personal information. Additionally, as a result of a breach or other security incident, we could be subject to demands, claims, and litigation by private parties and investigations, related actions, and penalties by regulatory authorities. Further, if we fail to detect or remediate a security breach in a timely manner, or a breach otherwise affects a large amount of Confidential Information, or if we suffer a cyberattack that impacts our ability to operate our platform, we may suffer damage to our reputation and our brand, and our business, financial condition, and results of operations may be materially adversely affected. Further, although we maintain insurance coverage, our insurance coverage may not be adequate for data security breaches, indemnification obligations, or other liabilities.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our platform, grow our customer base, and process, store, and transmit increasingly large amounts of Confidential Information.</w:t>
      </w:r>
    </w:p>
    <w:p>
      <w:pPr>
        <w:spacing w:after="0" w:line="30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suffer disruptions, outages, defects, and other performance and quality problems with our platform or with the public cloud and internet infrastructure on which it relies, which may materially adversely affect our business, financial condition, and results of operations.</w:t>
      </w:r>
    </w:p>
    <w:p>
      <w:pPr>
        <w:spacing w:after="0" w:line="5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business and continued growth depend in part on the ability of our customers and prospective customers to access our platform at any time and within an acceptable amount of time. Our agreements with customers typically provide for service-level commitments. If we are unable to meet these commitments or if we suffer unexcused periods of downtime for our platform, we may be contractually obligated to provide financial credits or extend the term of the subscription for the period of unexcused downtime, or our customers may be entitled to terminate their agreements and obtain a pro rata refund. We have in the past provided, and may in the future be required to provide, financial credits and pro rata refunds as a result of not being able to meet these commitments. We have experienced, and may in the future experience, disruptions, outages, defects, and other performance and quality problems with our platform or with the public cloud and internet infrastructure on which our platform relies. These problems can be caused by a variety of factors, including infrastructure changes, introductions of new functionality, vulnerabilities, and defects in proprietary and open-source software, human error or misconduct, capacity constraints due to an overwhelming number of users accessing our platform simultaneously, design limitations, or degradation or denial-of-service attacks or other cyberattacks or security-related incidents. The performance and availability of the cloud computing infrastructure that we use to host our platform and many of the internal tools we use to operate our business is outside our control; therefore, we are not in full control of whether we meet the service-level commitments under our customer agreements. As a result, our business, financial condition, and results of operations could be materially adversely affected if we suffer unscheduled downtime that exceeds the service-level commitments we have made to our customers. Any extended service outages could materially adversely affect our business and reputation.</w:t>
      </w:r>
    </w:p>
    <w:p>
      <w:pPr>
        <w:spacing w:after="0" w:line="194"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Our Digital Analytics Platform is proprietary, and we rely on the expertise of members of our engineering, operations, product, and software development teams for its continued performance. It may become increasingly difficult and costly to maintain and improve the performance of our Digital Analytics Platform, especially during peak usage times and as our platform becomes more</w:t>
      </w:r>
    </w:p>
    <w:p>
      <w:pPr>
        <w:spacing w:after="0" w:line="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0" w:right="399" w:bottom="1440" w:gutter="0" w:footer="0" w:header="0"/>
        </w:sectPr>
      </w:pPr>
    </w:p>
    <w:bookmarkStart w:id="42" w:name="page43"/>
    <w:bookmarkEnd w:id="42"/>
    <w:p>
      <w:pPr>
        <w:spacing w:after="0" w:line="265" w:lineRule="auto"/>
        <w:rPr>
          <w:sz w:val="20"/>
          <w:szCs w:val="20"/>
          <w:color w:val="auto"/>
        </w:rPr>
      </w:pPr>
      <w:r>
        <w:rPr>
          <w:rFonts w:ascii="Times New Roman" w:cs="Times New Roman" w:eastAsia="Times New Roman" w:hAnsi="Times New Roman"/>
          <w:sz w:val="18"/>
          <w:szCs w:val="18"/>
          <w:color w:val="auto"/>
        </w:rPr>
        <w:t>complex and our user traffic increases.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materially adversely affected.</w:t>
      </w:r>
    </w:p>
    <w:p>
      <w:pPr>
        <w:spacing w:after="0" w:line="17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depend and rely on third-party hosted cloud services and internet infrastructure in order to operate critical functions of our business. For example, our platform and internal tools use computing, storage capabilities, bandwidth, and other services provided by AWS. If these services become unavailable due to extended outages, interruptions, or because they are no longer available on commercially reasonable terms, our expenses could increase, our ability to manage our business could be interrupted, and our processes for managing sales of and delivering our Digital Analytics Platform could be impaired until we are able to identify, obtain, and implement equivalent services, if we are able to do so at all. Any of these circumstances could materially adversely affect our business, financial condition, and results of operations.</w:t>
      </w:r>
    </w:p>
    <w:p>
      <w:pPr>
        <w:spacing w:after="0" w:line="186"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Any disruptions, outages, defects, and other performance and quality problems with our platform or with the public cloud and internet infrastructure on which it relies, or any material change in our contractual and other business relationships with any public cloud providers we contract with, could result in reduced use of our platform, increased expenses, including service credit obligations, and harm to our brand and reputation, any of which could have a material adverse effect on our business, financial condition, and results of operations.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vulnerabilities or bugs in our platform could materially adversely affect our business and growth prospects.</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Because our platform is complex, undetected errors, failures, vulnerabilities, or bugs may occur, especially when updates are deployed. We have discovered and expect we will continue to discover software errors, failures, vulnerabilities, and bugs in our platform and supporting information technology systems, and anticipate that certain of these errors, failures, vulnerabilities, and bugs will only be discovered and remediated after deployment to customers. Software errors, failures, vulnerabilities, and bugs in our platform or information technology systems could materially adversely affect our business and growth prospects.</w:t>
      </w:r>
    </w:p>
    <w:p>
      <w:pPr>
        <w:spacing w:after="0" w:line="28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product support may adversely affect our relationships with our customers, our reputation, and our business, financial condition, and results of operations.</w:t>
      </w:r>
    </w:p>
    <w:p>
      <w:pPr>
        <w:spacing w:after="0" w:line="5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using our Digital Analytics Platform, our customers depend on our product support team to resolve complex technical and operational issues. We may be unable to respond quickly enough to accommodate short-, medium-, and long-term increases in customer demand for product support. We also may be unable to modify the nature, scope, and delivery of our product support to compete with changes in product support services provided by our competitors. Increased customer demand for product support, without corresponding revenue, could increase costs and materially adversely affect our results of operations. Our sales are highly dependent on our business reputation and on positive recommendations from our existing customers. Any failure to maintain high-quality product support, or a market perception that we do not maintain high-quality product support, could materially adversely affect our reputation, our ability to sell our Digital Analytics Platform to our customers and prospective customers, and our business, financial condition, and results of operations.</w:t>
      </w:r>
    </w:p>
    <w:p>
      <w:pPr>
        <w:spacing w:after="0" w:line="29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Incorrect or improper implementation or use of our Digital Analytics Platform could result in customer dissatisfaction and materially adversely affect our business, financial condition, and results of operations.</w:t>
      </w:r>
    </w:p>
    <w:p>
      <w:pPr>
        <w:spacing w:after="0" w:line="5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often assist our customers in implementing our Digital Analytics Platform (whether through us directly or through a third-party implementation partner), and they may need training in the proper use of our Digital Analytics Platform to maximize its potential and avoid inadequate performance. If we or our implementation partners fail to train customers on how to efficiently and effectively use our Digital Analytics Platform or if we fail to provide adequate product support to our customers, we may lose opportunities for additional subscriptions, customers may choose not to renew or expand the use of our Digital Analytics Platform, we may experience negative publicity or legal claims against us, and our reputation and brand may suffer. Any of these circumstances could materially adversely affect our business, financial condition, and results of operations.</w:t>
      </w:r>
    </w:p>
    <w:p>
      <w:pPr>
        <w:spacing w:after="0" w:line="289"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integrate our platform with a variety of operating systems, software applications, and platforms that are developed by others, our platform may become less marketable, less competitive, or obsolete, and our business, financial condition, results of operations, and growth prospects could be materially adversely affected.</w:t>
      </w:r>
    </w:p>
    <w:p>
      <w:pPr>
        <w:spacing w:after="0" w:line="66"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Our customers and prospective customers expect our Digital Analytics Platform to integrate with a variety of software platforms, and we need to continuously modify and enhance our platform to adapt to changes in software, browser, and database technologies. We have developed our platform to be able to integrate with third-party SaaS applications through the interaction of application programming interfaces (“APIs”). In general, we rely on the fact that the providers of such software systems continue to</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43" w:name="page44"/>
    <w:bookmarkEnd w:id="43"/>
    <w:p>
      <w:pPr>
        <w:ind w:right="60"/>
        <w:spacing w:after="0" w:line="256" w:lineRule="auto"/>
        <w:rPr>
          <w:sz w:val="20"/>
          <w:szCs w:val="20"/>
          <w:color w:val="auto"/>
        </w:rPr>
      </w:pPr>
      <w:r>
        <w:rPr>
          <w:rFonts w:ascii="Times New Roman" w:cs="Times New Roman" w:eastAsia="Times New Roman" w:hAnsi="Times New Roman"/>
          <w:sz w:val="18"/>
          <w:szCs w:val="18"/>
          <w:color w:val="auto"/>
        </w:rPr>
        <w:t>allow us access to their APIs to enable these custom integrations. We are subject to the standard terms and conditions of such providers, or other agreements we may have with them, which govern the distribution, operation, and fees of such software systems, and which may be subject to change by such providers. As a result of limits or prohibitions by other parties, unacceptable terms, technical difficulties, our failure to recognize demand, or for other reasons, we may not successfully build, deploy, or offer the integrations needed. If we fail to offer a variety of integrations or the integrations that our customers and prospective customers expect and demand, then our Digital Analytics Platform may become less marketable, less competitive, or obsolete, and our business, financial condition, results of operations, and growth prospects could be materially adversely affected.</w:t>
      </w:r>
    </w:p>
    <w:p>
      <w:pPr>
        <w:spacing w:after="0" w:line="28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the history with our subscription or pricing models necessary to accurately predict optimal pricing necessary to attract new customers and retain existing customers.</w:t>
      </w:r>
    </w:p>
    <w:p>
      <w:pPr>
        <w:spacing w:after="0" w:line="5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have limited experience with respect to determining the optimal prices for our Digital Analytics Platform and, as a result, we have in the past needed, and expect in the future that we will need, to change our pricing model from time to time. As the market for our Digital Analytics Platform matures, or as new competitors introduce new products or services that compete with ours, we may be unable to attract new customers at the same price or based on the same pricing models as we have used historically. Pricing decisions may also impact the mix of adoption among our subscription plans and negatively impact our overall revenue. Although we occasionally upsell within contract terms based on customer needs, substantially all of our customer contracts have a subscription period of one year or longer, for which we primarily bill annually in advance with no obligation to renew. As a result, potential changes in our pricing policies, or our rate of customer expansion or retention, may not be fully reflected in our results of operations until future periods. Moreover, larger organizations may demand price concessions. As a result, in the future we may be required to reduce our prices, which could materially adversely affect our business, financial condition, and results of operations.</w:t>
      </w:r>
    </w:p>
    <w:p>
      <w:pPr>
        <w:spacing w:after="0" w:line="29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sales and marketing capabilities, including our relationships with channel partners, could harm our ability to increase our customer base and achieve broader market acceptance of our products and platform.</w:t>
      </w:r>
    </w:p>
    <w:p>
      <w:pPr>
        <w:spacing w:after="0" w:line="5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order to increase our sales to new and existing customers, we must expand our sales and marketing operations, including our sales force and third-party channel partners, and continue to dedicate significant resources to inbound sales and marketing programs, both domestically and internationally. Our ability to increase our customer base and achieve broader market acceptance of our products will depend, in part, on our ability to effectively organize, focus, and train our sales and marketing personnel. If we are unable to increase adoption of our Digital Analytics Platform by new and existing customers, especially enterprise customers, our business, financial condition, and results of operations may be materially adversely affected.</w:t>
      </w:r>
    </w:p>
    <w:p>
      <w:pPr>
        <w:spacing w:after="0" w:line="18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efforts to develop and expand our sales and marketing capabilities will require us to invest significant financial and other resources, including in industries and sales channels in which we have limited experience to date. We may not achieve anticipated revenue growth from expanding our sales and marketing capabilities, and our business, financial condition, results of operations, and growth prospects may be materially adversely affected, if we are unable to hire, develop, integrate, and retain talented and effective sales personnel and global systems integrators, consultancies, and digital agencies; if our new and existing sales personnel are unable to achieve desired productivity levels in a reasonable period of time; or if our sales and marketing programs are not effective.</w:t>
      </w:r>
    </w:p>
    <w:p>
      <w:pPr>
        <w:spacing w:after="0" w:line="28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build and maintain successful relationships with our channel partners or such channel partners may fail to perform, which could materially adversely affect our business, financial condition, results of operations, and growth prospects.</w:t>
      </w:r>
    </w:p>
    <w:p>
      <w:pPr>
        <w:spacing w:after="0" w:line="5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employ a go-to-market business model whereby a portion of our revenue is generated by sales through our channel partners, such as independent software vendors and resellers, that further expand the reach of our direct sales force into additional geographies, sectors, and industries. In particular, we have entered, and intend to continue to enter, into strategic sales distributor and reseller relationships in certain international markets where we do not have a local presence. We provide certain of our channel partners with specific training and programs to assist them in selling access to our Digital Analytics Platform, but there can be no assurance that these steps will be effective. In addition, if our channel partners are unsuccessful in marketing and selling access to our Digital Analytics Platform, it would limit our expansion into certain geographies, sectors, and industries. If we are unable to develop and maintain effective sales incentive programs for our channel partners, we may not be able to incentivize these partners to sell access to our Digital Analytics Platform to customers.</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Some of these partners may also market, sell, and support offerings that are competitive with ours, may devote more resources to the marketing, sales, and support of such competitive offerings, may have incentives to promote our competitors’ offerings to the detriment of our own, or may cease selling access to our Digital Analytics Platform altogether. Our channel partners could subject us to lawsuits, potential liability, and reputational harm if, for example, any of our channel partners misrepresents the functionality of our Digital Analytics Platform to customers or violates laws or our or their corporate policies. Our ability to achieve revenue growth in the future will depend, in part, on our success in maintaining successful relationships with our channel partners, identifying additional channel partners, including in new markets, and training our channel partners to independently sell access to our Digital Analytics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44" w:name="page45"/>
    <w:bookmarkEnd w:id="44"/>
    <w:p>
      <w:pPr>
        <w:ind w:right="60"/>
        <w:spacing w:after="0" w:line="260" w:lineRule="auto"/>
        <w:rPr>
          <w:sz w:val="20"/>
          <w:szCs w:val="20"/>
          <w:color w:val="auto"/>
        </w:rPr>
      </w:pPr>
      <w:r>
        <w:rPr>
          <w:rFonts w:ascii="Times New Roman" w:cs="Times New Roman" w:eastAsia="Times New Roman" w:hAnsi="Times New Roman"/>
          <w:sz w:val="18"/>
          <w:szCs w:val="18"/>
          <w:color w:val="auto"/>
        </w:rPr>
        <w:t>Platform. If our channel partners are unsuccessful in selling access to our Digital Analytics Platform, or if we are unable to enter into arrangements with or retain a sufficient number of high-quality channel partners in each of the regions in which we sell access to our Digital Analytics Platform and keep them motivated to sell access to our Digital Analytics Platform, our business, financial condition, results of operations, and growth prospects could be materially adversely affected.</w:t>
      </w:r>
    </w:p>
    <w:p>
      <w:pPr>
        <w:spacing w:after="0" w:line="286"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marketing strategies are not effective in attracting new customers and retaining existing customers, our business and ability to grow our revenues would be harmed.</w:t>
      </w:r>
    </w:p>
    <w:p>
      <w:pPr>
        <w:spacing w:after="0" w:line="5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rely on our marketing strategies—which consist of a combination of online and offline marketing programs such as online advertising, blogs, public relations, social media, user conferences, educational white papers and webinars, product demos, workshops, roundtables, and customer case studies, offering customers a free-tier, self-service option, and other inbound lead generation and outbound sales strategies—to drive our sales and revenue. These strategies may not continue to generate the level of sales necessary to increase our revenue. If our outbound sales efforts are unsuccessful at attracting new customers and retaining existing customers, we may be unable to grow our market share and revenue. If our customer base does not continue to grow through word-of-mouth marketing and viral adoption or outbound sales efforts, we may be required to incur significantly higher sales and marketing expenses in order to acquire new subscribers, which could materially adversely affect our business and results of operations. In addition, high levels of customer satisfaction and market adoption are central to our marketing model. Any decrease in our customers’ satisfaction with our products, including as a result of actions outside of our control, could harm word-of-mouth referrals and our brand.</w:t>
      </w:r>
    </w:p>
    <w:p>
      <w:pPr>
        <w:spacing w:after="0" w:line="186"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Additionally, many customers never convert from our free-tier, self-service option to a paid subscription contract. Further, we often depend on individuals within an organization who initiate our free-tier, self-service option being able to convince decision-makers within their organization to convert to a subscription contract. Many of these organizations have complex and multi-layered purchasing requirements. To the extent that these free-tier customers do not become paying subscribers, we will not realize the intended benefits of this marketing strategy.</w:t>
      </w:r>
    </w:p>
    <w:p>
      <w:pPr>
        <w:spacing w:after="0" w:line="286"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efforts to larger organizations involve risks that may not be present or that are present to a lesser extent with respect to sales to smaller organizations.</w:t>
      </w:r>
    </w:p>
    <w:p>
      <w:pPr>
        <w:spacing w:after="0" w:line="50"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We have experienced rapid growth in our customer base since our inception. Although our growth strategy includes acquiring new customers across industries, company size, and stages of digital maturity, we believe there is a significant opportunity to continue to penetrate the largest global organizations. Sales to larger organizations involve risks that may not be present, or that are present to a lesser extent, with sales to smaller organizations, such as longer sales cycles, more complex customer requirements, substantial upfront sales costs, and less predictability in completing some of our sales. For example, enterprise customers, which we define as customers with more than 1,500 employees, may require considerable time to evaluate and test our Digital Analytics Platform prior to making a purchase decision and placing an order. A number of factors influence the length and variability of our sales cycle, including the need to educate potential customers about the uses and benefits of our Digital Analytics Platform,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enterprises typically taking longer to complete. In recent periods, the average length of our sales cycle to enterprises was four to six months, as compared to one to three months to non-enterprise customers. In addition, larger organizations may demand more features and integration services. Sales to larger organizations also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 If we fail to effectively manage these risks associated with sales cycles and sales to larger organizations, our business, financial condition, and results of operations may be materially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and enhance our brand, our business, financial condition, and results of operations may be materially adversely affected.</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believe that maintaining and enhancing our reputation as a differentiated and category-defining company in digital analytics is critical to our relationships with our existing customers and to our ability to attract new customers. The successful promotion of our brand attributes will depend on a number of factors, including our marketing efforts, our ability to ensure that our platform remains reliable and secure, our ability to continue to develop high-quality software, and our ability to successfully differentiate our Digital Analytics Platform from competitive products and services. In addition, independent industry analysts often provide reviews of our Digital Analytics Platform, as well as products and services offered by our competitors, and the market perception of our Digital Analytics Platform may be significantly influenced by these reviews. If these reviews are negative, or less positive as compared to</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45" w:name="page46"/>
    <w:bookmarkEnd w:id="45"/>
    <w:p>
      <w:pPr>
        <w:ind w:right="680"/>
        <w:spacing w:after="0" w:line="281" w:lineRule="auto"/>
        <w:rPr>
          <w:sz w:val="20"/>
          <w:szCs w:val="20"/>
          <w:color w:val="auto"/>
        </w:rPr>
      </w:pPr>
      <w:r>
        <w:rPr>
          <w:rFonts w:ascii="Times New Roman" w:cs="Times New Roman" w:eastAsia="Times New Roman" w:hAnsi="Times New Roman"/>
          <w:sz w:val="18"/>
          <w:szCs w:val="18"/>
          <w:color w:val="auto"/>
        </w:rPr>
        <w:t>those of our competitors’ products and services, our brand may be adversely affected. It may also be difficult to maintain and enhance our brand in connection with sales through channel or strategic partners.</w:t>
      </w:r>
    </w:p>
    <w:p>
      <w:pPr>
        <w:spacing w:after="0" w:line="19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promotion of our brand requires us to make substantial expenditures, and we anticipate that the expenditures will increase as our market becomes more competitive, as we expand into new markets, and as more sales are generated through our channel partners. To the extent that these activities yield increased revenue, this revenue may not offset the increased expenses we incur. If we do not successfully maintain and enhance our brand, our business may not grow, we may have reduced pricing power relative to competitors, and we could lose customers or fail to attract potential customers, all of which would materially adversely affect our business, financial condition, and results of operations.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are international in scope, and we plan further geographic expansion, creating a variety of operational challenges.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2023 and the three months ended March 31, 2024 and 2023, 39%, 40% and 39% of our revenue was generated outside the United States, respectively. A component of our growth strategy involves the further expansion of our operations and customer base internationally, which will require significant dedication of management attention and financial resources. We are continuing to adapt to and develop strategies to address international markets, but there is no guarantee that such efforts will have the desired effect. Our sales organization outside the United States is substantially smaller than our sales organization in the United States, and, to date, only a very small portion of our sales has been driven by resellers or other channel partners. To the extent we are unable to effectively engage with non-U.S. customers due to our limited sales force capacity and limited channel partners, we may be unable to effectively grow in international markets.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current and future international business and operations involve a variety of risks, including:</w:t>
      </w:r>
    </w:p>
    <w:p>
      <w:pPr>
        <w:spacing w:after="0" w:line="117" w:lineRule="exact"/>
        <w:rPr>
          <w:sz w:val="20"/>
          <w:szCs w:val="20"/>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public cloud adoption by international businesses;</w:t>
      </w:r>
    </w:p>
    <w:p>
      <w:pPr>
        <w:spacing w:after="0" w:line="116" w:lineRule="exact"/>
        <w:rPr>
          <w:rFonts w:ascii="Times New Roman" w:cs="Times New Roman" w:eastAsia="Times New Roman" w:hAnsi="Times New Roman"/>
          <w:sz w:val="18"/>
          <w:szCs w:val="18"/>
          <w:color w:val="auto"/>
        </w:rPr>
      </w:pPr>
    </w:p>
    <w:p>
      <w:pPr>
        <w:ind w:left="1020" w:right="320" w:hanging="504"/>
        <w:spacing w:after="0" w:line="28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which may be unexpected, in a specific country’s or region’s political, economic, or legal and regulatory environment, including Brexit, armed conflicts, pandemics, terrorist activities, tariffs, trade wars, or long-term environmental risks;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Digital Analytics Platform for specific countries;</w:t>
      </w:r>
    </w:p>
    <w:p>
      <w:pPr>
        <w:spacing w:after="0" w:line="116" w:lineRule="exact"/>
        <w:rPr>
          <w:rFonts w:ascii="Times New Roman" w:cs="Times New Roman" w:eastAsia="Times New Roman" w:hAnsi="Times New Roman"/>
          <w:sz w:val="18"/>
          <w:szCs w:val="18"/>
          <w:color w:val="auto"/>
        </w:rPr>
      </w:pPr>
    </w:p>
    <w:p>
      <w:pPr>
        <w:ind w:left="1020" w:right="300" w:hanging="504"/>
        <w:spacing w:after="0" w:line="28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greater difficulty enforcing contracts, collecting accounts receivable, or satisfying revenue recognition criteria, especially in emerging markets;</w:t>
      </w:r>
    </w:p>
    <w:p>
      <w:pPr>
        <w:spacing w:after="0" w:line="54" w:lineRule="exact"/>
        <w:rPr>
          <w:rFonts w:ascii="Times New Roman" w:cs="Times New Roman" w:eastAsia="Times New Roman" w:hAnsi="Times New Roman"/>
          <w:sz w:val="18"/>
          <w:szCs w:val="18"/>
          <w:color w:val="auto"/>
        </w:rPr>
      </w:pPr>
    </w:p>
    <w:p>
      <w:pPr>
        <w:ind w:left="1020" w:right="100" w:hanging="504"/>
        <w:spacing w:after="0" w:line="28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evolving, and more stringent regulations relating to privacy and data security and the unauthorized use of, or access to, commercial and personal information, particularly in Europe;</w:t>
      </w:r>
    </w:p>
    <w:p>
      <w:pPr>
        <w:spacing w:after="0" w:line="54" w:lineRule="exact"/>
        <w:rPr>
          <w:rFonts w:ascii="Times New Roman" w:cs="Times New Roman" w:eastAsia="Times New Roman" w:hAnsi="Times New Roman"/>
          <w:sz w:val="18"/>
          <w:szCs w:val="18"/>
          <w:color w:val="auto"/>
        </w:rPr>
      </w:pPr>
    </w:p>
    <w:p>
      <w:pPr>
        <w:ind w:left="1020" w:right="720" w:hanging="504"/>
        <w:spacing w:after="0" w:line="28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54"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69"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travel, real estate, infrastructure, and legal compliance costs associated with international operations;</w:t>
      </w:r>
    </w:p>
    <w:p>
      <w:pPr>
        <w:spacing w:after="0" w:line="116" w:lineRule="exact"/>
        <w:rPr>
          <w:rFonts w:ascii="Times New Roman" w:cs="Times New Roman" w:eastAsia="Times New Roman" w:hAnsi="Times New Roman"/>
          <w:sz w:val="18"/>
          <w:szCs w:val="18"/>
          <w:color w:val="auto"/>
        </w:rPr>
      </w:pPr>
    </w:p>
    <w:p>
      <w:pPr>
        <w:ind w:left="1020" w:right="500" w:hanging="504"/>
        <w:spacing w:after="0" w:line="28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choose to do so in the future;</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market preferences for local vendors;</w:t>
      </w:r>
    </w:p>
    <w:p>
      <w:pPr>
        <w:spacing w:after="0" w:line="116"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difficulties obtaining, maintaining, protecting, or enforcing our intellectual property rights, including our trademarks and patents;</w:t>
      </w:r>
    </w:p>
    <w:p>
      <w:pPr>
        <w:spacing w:after="0" w:line="54" w:lineRule="exact"/>
        <w:rPr>
          <w:rFonts w:ascii="Times New Roman" w:cs="Times New Roman" w:eastAsia="Times New Roman" w:hAnsi="Times New Roman"/>
          <w:sz w:val="18"/>
          <w:szCs w:val="18"/>
          <w:color w:val="auto"/>
        </w:rPr>
      </w:pPr>
    </w:p>
    <w:p>
      <w:pPr>
        <w:ind w:left="1020" w:right="100" w:hanging="504"/>
        <w:spacing w:after="0" w:line="265"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social or macroeconomic events, including the war in Ukraine, the conflict in the Middle East, and potential public health epidemics or pandemics, that could decrease economic activity in certain markets, decrease use of our products and services, or decrease our ability to import, export, or sell our products and services to existing or new customers in international markets;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6" w:name="page47"/>
    <w:bookmarkEnd w:id="46"/>
    <w:p>
      <w:pPr>
        <w:ind w:left="1020" w:right="60" w:hanging="504"/>
        <w:spacing w:after="0" w:line="265"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export control, economic and trade sanctions, anti-corruption, and anti-money laundering laws, including the Export Administration Regulations, regulations administered by the Office of Foreign Assets Control, the U.S. Foreign Corrupt Practices Act (“FCPA”), U.S. bribery laws, the UK Bribery Act, and similar laws and regulations in other jurisdictions;</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or preferences for domestic products;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technical standards, existing or future regulatory and certification requirements, and required features and functionality;</w:t>
      </w:r>
    </w:p>
    <w:p>
      <w:pPr>
        <w:spacing w:after="0" w:line="116" w:lineRule="exact"/>
        <w:rPr>
          <w:rFonts w:ascii="Times New Roman" w:cs="Times New Roman" w:eastAsia="Times New Roman" w:hAnsi="Times New Roman"/>
          <w:sz w:val="18"/>
          <w:szCs w:val="18"/>
          <w:color w:val="auto"/>
        </w:rPr>
      </w:pPr>
    </w:p>
    <w:p>
      <w:pPr>
        <w:ind w:left="1020" w:right="180" w:hanging="504"/>
        <w:spacing w:after="0" w:line="28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laws and regulations related to privacy and data security, including the E.U. General Data Protection Regulation (“GDPR”) and similar laws and regulations in other jurisdictions; and</w:t>
      </w:r>
    </w:p>
    <w:p>
      <w:pPr>
        <w:spacing w:after="0" w:line="54"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laws and regulations related to taxation, and regulations, adverse tax burdens, and foreign exchange controls that could make it difficult to repatriate earnings and cash.</w:t>
      </w:r>
    </w:p>
    <w:p>
      <w:pPr>
        <w:spacing w:after="0" w:line="163" w:lineRule="exact"/>
        <w:rPr>
          <w:sz w:val="20"/>
          <w:szCs w:val="20"/>
          <w:color w:val="auto"/>
        </w:rPr>
      </w:pPr>
    </w:p>
    <w:p>
      <w:pPr>
        <w:ind w:right="600" w:firstLine="509"/>
        <w:spacing w:after="0" w:line="281" w:lineRule="auto"/>
        <w:rPr>
          <w:sz w:val="20"/>
          <w:szCs w:val="20"/>
          <w:color w:val="auto"/>
        </w:rPr>
      </w:pPr>
      <w:r>
        <w:rPr>
          <w:rFonts w:ascii="Times New Roman" w:cs="Times New Roman" w:eastAsia="Times New Roman" w:hAnsi="Times New Roman"/>
          <w:sz w:val="18"/>
          <w:szCs w:val="18"/>
          <w:color w:val="auto"/>
        </w:rPr>
        <w:t>If we invest substantial time and resources to further expand our international operations and are unable to do so successfully and in a timely manner, our business, financial condition, and results of operations could be materially adversely affected.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war in Ukraine could materially adversely affect our business, results of operations, and financial condition.</w:t>
      </w:r>
    </w:p>
    <w:p>
      <w:pPr>
        <w:spacing w:after="0" w:line="121" w:lineRule="exact"/>
        <w:rPr>
          <w:sz w:val="20"/>
          <w:szCs w:val="20"/>
          <w:color w:val="auto"/>
        </w:rPr>
      </w:pPr>
    </w:p>
    <w:p>
      <w:pPr>
        <w:ind w:right="220" w:firstLine="509"/>
        <w:spacing w:after="0" w:line="260" w:lineRule="auto"/>
        <w:rPr>
          <w:sz w:val="20"/>
          <w:szCs w:val="20"/>
          <w:color w:val="auto"/>
        </w:rPr>
      </w:pPr>
      <w:r>
        <w:rPr>
          <w:rFonts w:ascii="Times New Roman" w:cs="Times New Roman" w:eastAsia="Times New Roman" w:hAnsi="Times New Roman"/>
          <w:sz w:val="18"/>
          <w:szCs w:val="18"/>
          <w:color w:val="auto"/>
        </w:rPr>
        <w:t>In February 2022, Russian military forces invaded Ukraine, and although the length, impact, and outcome of the ongoing war in Ukraine is highly unpredictable, this war has led, and could continue to lead, to significant market and other disruptions, including instability in financial markets, supply chain interruptions, political and social instability, and changes in consumer or purchaser preferences, as well as an increase in cyberattacks, intellectual property theft, and espionage.</w:t>
      </w:r>
    </w:p>
    <w:p>
      <w:pPr>
        <w:spacing w:after="0" w:line="182" w:lineRule="exact"/>
        <w:rPr>
          <w:sz w:val="20"/>
          <w:szCs w:val="20"/>
          <w:color w:val="auto"/>
        </w:rPr>
      </w:pPr>
    </w:p>
    <w:p>
      <w:pPr>
        <w:ind w:firstLine="509"/>
        <w:spacing w:after="0" w:line="288" w:lineRule="auto"/>
        <w:rPr>
          <w:sz w:val="20"/>
          <w:szCs w:val="20"/>
          <w:color w:val="auto"/>
        </w:rPr>
      </w:pPr>
      <w:r>
        <w:rPr>
          <w:rFonts w:ascii="Times New Roman" w:cs="Times New Roman" w:eastAsia="Times New Roman" w:hAnsi="Times New Roman"/>
          <w:sz w:val="17"/>
          <w:szCs w:val="17"/>
          <w:color w:val="auto"/>
        </w:rPr>
        <w:t>We are continuing to monitor the situation in Ukraine and assessing its impact on our business, including our business partners and customers. Such circumstances, combined with sanctions have resulted in disruptions to our customers' businesses in the impacted regions, including, at times, their ability to pay for our services. As such, we may experience a reduction in revenue from customers in the impacted regions as long as these circumstances continue.</w:t>
      </w:r>
    </w:p>
    <w:p>
      <w:pPr>
        <w:spacing w:after="0" w:line="15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have no way to predict the progress or outcome of the war in Ukraine or its impacts in Ukraine, Russia, or surrounding countries as the war, and any resulting government reactions, are rapidly developing and beyond our control. The extent and duration of the war, sanctions, and resulting market disruptions could be significant and could potentially have a substantial impact on the global economy and our business for an unknown period of time. Any of the above-mentioned factors could materially adversely affect our business, financial condition, and results of operations. Any such disruptions may also magnify the impact of other risks described in this “Risk Factors” section and elsewhere in this Quarterly Report on Form 10-Q.</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derive, and expect to continue for some time to derive, substantially all of our revenue from our Amplitude Analytics product.</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Although we have released our Amplitude CDP, Amplitude Experiment, and Amplitude Session Replay products, we currently derive, and expect to continue for some time to derive, substantially all of our revenue from our Amplitude Analytics product. As such, the continued growth in demand for, and market acceptance, of Amplitude Analytics is critical to our success. Demand for Amplitude Analytics and our other products and platform functionality is affected by a number of factors, many of which are beyond our control, such as continued market acceptance of our products by customers for existing and new use cases, the timing of development and release of new products, features, and functionality that are lower-cost alternatives introduced by us or our competitors, technological changes and developments within the markets we serve, and growth or contraction in our addressable markets. If we are unable to continue to meet customer demands or to achieve more widespread market acceptance of our products, particularly our Amplitude Analytics product, our business, financial condition, and results of operations could be materially adversely affected.</w:t>
      </w:r>
    </w:p>
    <w:p>
      <w:pPr>
        <w:spacing w:after="0" w:line="29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invest significantly in research and development, and to the extent our research and development investments do not translate into new products or material enhancements to our current products, or if we do not use those investments efficiently, our business, financial condition, and results of operations would be materially adversely affected.</w:t>
      </w:r>
    </w:p>
    <w:p>
      <w:pPr>
        <w:spacing w:after="0" w:line="66"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2023 and the three months ended March 31, 2024 and 2023, our research and development expenses were 33%, 32%, and 36% of our revenue, respectively. If we do not spend our research and development budget efficiently</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7" w:name="page48"/>
    <w:bookmarkEnd w:id="47"/>
    <w:p>
      <w:pPr>
        <w:jc w:val="both"/>
        <w:ind w:right="260"/>
        <w:spacing w:after="0" w:line="272" w:lineRule="auto"/>
        <w:rPr>
          <w:sz w:val="20"/>
          <w:szCs w:val="20"/>
          <w:color w:val="auto"/>
        </w:rPr>
      </w:pPr>
      <w:r>
        <w:rPr>
          <w:rFonts w:ascii="Times New Roman" w:cs="Times New Roman" w:eastAsia="Times New Roman" w:hAnsi="Times New Roman"/>
          <w:sz w:val="17"/>
          <w:szCs w:val="17"/>
          <w:color w:val="auto"/>
        </w:rPr>
        <w:t>or effectively on compelling innovation and technologies, our business may be harmed. 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products and generate revenue, if any, from such investment.</w:t>
      </w:r>
    </w:p>
    <w:p>
      <w:pPr>
        <w:spacing w:after="0" w:line="1"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18"/>
          <w:szCs w:val="18"/>
          <w:color w:val="auto"/>
        </w:rPr>
        <w:t>Additionally, anticipated customer demand for a product or service we are developing could decrease after the development cycle has commenced, and we would nonetheless be unable to avoid substantial costs associated with the development of any such product or service. If we expend a significant amount of resources on research and development and our efforts do not lead to the successful introduction or improvement of products that are competitive in our current or future markets, our business, financial condition, and results of operations would be materially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agree to indemnify customers and other third parties, which exposes us to substantial potential liability.</w:t>
      </w:r>
    </w:p>
    <w:p>
      <w:pPr>
        <w:spacing w:after="0" w:line="121"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color w:val="auto"/>
        </w:rPr>
        <w:t>Our contracts with customers and other third parties may include indemnification or other provisions under which we agree to indemnify or otherwise be liable to them for losses arising from alleged infringement, misappropriation, or other violation of intellectual property rights, data protection violations, breaches of representations and warranties, damage to property or persons, or other liabilities arising from our platform or such contracts. Although we attempt to limit our indemnity obligations, an event triggering our indemnity obligations could give rise to multiple claims involving multiple customers or other third parties. These claims may require us to initiate or defend protracted and costly litigation on behalf of our customers and other third parties, regardless of the merits of these claims. We may not have adequate or any insurance coverage and may be liable for up to the full amount of the indemnified claims, which could result in substantial liability or material disruption to our business or could negatively impact our relationships with customers or other third parties, reduce demand for our products, and materially adversely affect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this capital might not be available on acceptable terms, if at all.</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which may require us to engage in debt or equity financings to secure additional funds. Additional financing may not be available on terms favorable to us, if at all. If adequate funds are not available on acceptable terms, we may be unable to invest in future growth opportunities, which could materially adversely affect our business, financial condition, and results of operations. If we incur debt, the debt holders would have rights senior to holders of our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may not protect our business or provide us with a competitive advantage, which could have a material adverse effect on our business, financial condition, and results of operations.</w:t>
      </w:r>
    </w:p>
    <w:p>
      <w:pPr>
        <w:spacing w:after="0" w:line="50"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To be successful, we must protect our technology and brand in the United States and other jurisdictions through trademarks, trade secrets, patents, copyrights, service marks, invention assignments, contractual restrictions, and other intellectual property rights and confidentiality procedures. Despite our efforts to implement these protections, these measures may not protect our business or provide us with a competitive advantage for a variety of reasons, including:</w:t>
      </w:r>
    </w:p>
    <w:p>
      <w:pPr>
        <w:spacing w:after="0" w:line="74" w:lineRule="exact"/>
        <w:rPr>
          <w:sz w:val="20"/>
          <w:szCs w:val="20"/>
          <w:color w:val="auto"/>
        </w:rPr>
      </w:pPr>
    </w:p>
    <w:p>
      <w:pPr>
        <w:ind w:left="1020" w:right="120" w:hanging="504"/>
        <w:spacing w:after="0" w:line="28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obtain patents and other intellectual property rights for important innovations or maintain appropriate confidentiality and other protective measures to establish and maintain our trade secrets;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and evolution of, legal standards relating to the validity, enforceability, and scope of protection of intellectual property rights;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invalidation of our intellectual property rights through administrative processes or litigation;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by us to detect infringement or other misappropriation of our intellectual property rights by third parties;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practical, resource, or business limitations on our ability to enforce our rights.</w:t>
      </w:r>
    </w:p>
    <w:p>
      <w:pPr>
        <w:spacing w:after="0" w:line="225"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Further, the laws of certain foreign countries, particularly certain developing countries, do not provide the same level of protection of corporate proprietary information and assets, such as intellectual property, trademarks, trade secrets, know-how, and records, as the laws of the United States. As a result, we may encounter significant problems in protecting and defending our intellectual property or proprietary rights in foreign jurisdictions. Additionally, we may also be exposed to material risks of theft or unauthorized reverse engineering of our proprietary information and other intellectual property, including technical data, data sets, or</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48" w:name="page49"/>
    <w:bookmarkEnd w:id="48"/>
    <w:p>
      <w:pPr>
        <w:ind w:right="140"/>
        <w:spacing w:after="0" w:line="265" w:lineRule="auto"/>
        <w:rPr>
          <w:sz w:val="20"/>
          <w:szCs w:val="20"/>
          <w:color w:val="auto"/>
        </w:rPr>
      </w:pPr>
      <w:r>
        <w:rPr>
          <w:rFonts w:ascii="Times New Roman" w:cs="Times New Roman" w:eastAsia="Times New Roman" w:hAnsi="Times New Roman"/>
          <w:sz w:val="18"/>
          <w:szCs w:val="18"/>
          <w:color w:val="auto"/>
        </w:rPr>
        <w:t>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w:t>
      </w:r>
    </w:p>
    <w:p>
      <w:pPr>
        <w:spacing w:after="0" w:line="177" w:lineRule="exact"/>
        <w:rPr>
          <w:sz w:val="20"/>
          <w:szCs w:val="20"/>
          <w:color w:val="auto"/>
        </w:rPr>
      </w:pPr>
    </w:p>
    <w:p>
      <w:pPr>
        <w:ind w:right="300" w:firstLine="509"/>
        <w:spacing w:after="0" w:line="260"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spacing w:after="0" w:line="18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Further, litigation may be necessary to enforce our intellectual property or proprietary rights, protect our trade secrets, or determine the validity and scope of proprietary rights claimed by others. Any litigation, whether or not resolved in our favor, could result in significant expense to us, divert the efforts of our technical and management personnel, and result in counterclaims with respect to infringement of intellectual property rights by us. If we are unable to prevent third parties from infringing upon or misappropriating our intellectual property or are required to incur substantial expenses defending our intellectual property rights, our business, financial condition, and results of operations may be materially adversely affected.</w:t>
      </w:r>
    </w:p>
    <w:p>
      <w:pPr>
        <w:spacing w:after="0" w:line="28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which are expensive to support and, if resolved adversely, may subject us to significant liability and increased costs of doing business, which could have a material adverse effect on us.</w:t>
      </w:r>
    </w:p>
    <w:p>
      <w:pPr>
        <w:spacing w:after="0" w:line="5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compete in markets where there are a large number of patents, copyrights, trademarks, trade secrets, and other intellectual and proprietary rights, as well as disputes regarding infringement of these rights. Many of the holders of patents, copyrights, trademarks, trade secrets, and other intellectual and proprietary rights have extensive intellectual property portfolios and greater resources than we do to enforce their rights. As compared to our large competitors, our patent portfolio is relatively undeveloped and may not provide a material deterrent to such assertions or provide us with a strong basis to counterclaim or negotiate settlements. Further, to the extent assertions are made against us by entities that hold patents but are not operating companies, our patent portfolio may not provide deterrence because such entities are not concerned with counterclaims.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intellectual property litigation to which we become a party may require us to do one or more of the following:</w:t>
      </w:r>
    </w:p>
    <w:p>
      <w:pPr>
        <w:spacing w:after="0" w:line="117" w:lineRule="exact"/>
        <w:rPr>
          <w:sz w:val="20"/>
          <w:szCs w:val="20"/>
          <w:color w:val="auto"/>
        </w:rPr>
      </w:pPr>
    </w:p>
    <w:p>
      <w:pPr>
        <w:ind w:left="1020" w:right="1080" w:hanging="504"/>
        <w:spacing w:after="0" w:line="281"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licensing, or using products or features that incorporate the intellectual property rights that we allegedly infringe, misappropriate, or violate;</w:t>
      </w:r>
    </w:p>
    <w:p>
      <w:pPr>
        <w:spacing w:after="0" w:line="54"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subscription fee refunds, or other costs or damages, including indemnification of third parties;</w:t>
      </w:r>
    </w:p>
    <w:p>
      <w:pPr>
        <w:spacing w:after="0" w:line="54"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or enter into a royalty agreement, either of which may not be available on reasonable terms, or at all, in order to obtain the right to sell or use the relevant intellectual property; or</w:t>
      </w:r>
    </w:p>
    <w:p>
      <w:pPr>
        <w:spacing w:after="0" w:line="54" w:lineRule="exact"/>
        <w:rPr>
          <w:rFonts w:ascii="Times New Roman" w:cs="Times New Roman" w:eastAsia="Times New Roman" w:hAnsi="Times New Roman"/>
          <w:sz w:val="18"/>
          <w:szCs w:val="18"/>
          <w:color w:val="auto"/>
        </w:rPr>
      </w:pPr>
    </w:p>
    <w:p>
      <w:pPr>
        <w:ind w:left="1020" w:right="200" w:hanging="504"/>
        <w:spacing w:after="0" w:line="281"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the allegedly infringing products to avoid infringement, misappropriation, or violation, which could be costly, time-consuming, or impossible.</w:t>
      </w:r>
    </w:p>
    <w:p>
      <w:pPr>
        <w:spacing w:after="0" w:line="16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Intellectual property litigation is typically complex, time consuming, and expensive to resolve and would divert the resources, time, and attention of our management and technical personnel, which might seriously harm our business, financial condition, and results of operations.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w:t>
      </w:r>
    </w:p>
    <w:p>
      <w:pPr>
        <w:spacing w:after="0" w:line="189" w:lineRule="exact"/>
        <w:rPr>
          <w:sz w:val="20"/>
          <w:szCs w:val="20"/>
          <w:color w:val="auto"/>
        </w:rPr>
      </w:pPr>
    </w:p>
    <w:p>
      <w:pPr>
        <w:jc w:val="both"/>
        <w:ind w:right="120" w:firstLine="509"/>
        <w:spacing w:after="0" w:line="265" w:lineRule="auto"/>
        <w:rPr>
          <w:sz w:val="20"/>
          <w:szCs w:val="20"/>
          <w:color w:val="auto"/>
        </w:rPr>
      </w:pPr>
      <w:r>
        <w:rPr>
          <w:rFonts w:ascii="Times New Roman" w:cs="Times New Roman" w:eastAsia="Times New Roman" w:hAnsi="Times New Roman"/>
          <w:sz w:val="18"/>
          <w:szCs w:val="18"/>
          <w:color w:val="auto"/>
        </w:rPr>
        <w:t>Further, such litigation may also result in adverse publicity, which could harm our reputation and ability to attract or retain customers. As we grow, we may experience a heightened risk of allegations of intellectual property infringement. An adverse result in any litigation claims against us could have a material adverse effect on our business, financial condition, and results of operations.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“open-source” software could negatively affect our ability to sell our platform and subject us to possible litigation.</w:t>
      </w:r>
    </w:p>
    <w:p>
      <w:pPr>
        <w:spacing w:after="0" w:line="12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We use software in our Digital Analytics Platform that is licensed from third parties pursuant to open-source licenses. Certain open-source software licenses require a user who distributes or otherwise makes available the open-source software in connection with the user’s proprietary software to disclose publicly part or all of the source code to the user’s proprietary software. The use and distribution of open-source software may entail greater risks than the use of third-party commercial software, as open-source licensors generally do not provide warranties or other contractual protections regarding infringement claims or the quality of the code. Additionally, certain open-source software licenses are difficult to interpret and require the user of such software to make the source code of any derivative works of the open-source code and certain related software available to third parties with few restrictions on the use or further distribution of such software by such third parties. As a result, we may face claims from others seeking to enforce the terms of an open-source license, including by demanding the release of derivative works of the open-source software and our proprietary source code that was developed or used in connection with such software. These claims could also result in litigation and require us to replace certain open-source software with proprietary software licensed under costly commercial licenses or require us to devote additional research and development resources to change our platform, any of which would have a material adverse effect on our business and results of operations. Although we have implemented policies to regulate the use and incorporation of open-source software into our platform, we cannot be certain that we have not incorporated open-source software in our platform in a manner that is inconsistent with such policies. Any use of open-source software inconsistent with our policies or licensing terms could materially adversely affect our business, financial condition, and results of operations.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Compliance and Legal Matters</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 regulation, including import, export control, economic, and trade sanctions, and anti-corruption laws and regulations, which may expose us to liability and increase our costs.</w:t>
      </w:r>
    </w:p>
    <w:p>
      <w:pPr>
        <w:spacing w:after="0" w:line="5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activities must be conducted in compliance with U.S. export controls, including the U.S. Department of Commerce’s Export Administration Regulations and economic and trade sanctions regulations administered by the U.S. Department of the Treasury’s Office of Foreign Assets Control (“OFAC”). These regulations may limit the export of our products and provision of our services outside of the United States, or may require export authorizations, including by license, a license exception, or other appropriate government authorizations, including annual or semi-annual reporting and the filing of an encryption registration.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the provision of services, including by our partners, must comply with these laws or else we may be adversely affected, through reputational harm, government investigations, penalties, and a denial or curtailment of our ability to export our products or provide services. Complying with export control and sanctions laws may be time consuming and may result in the delay or loss of sales opportunities. Although we have controls designed to prevent our services from being used in violation of such laws, we are aware of a limited number of past occasions in which persons from U.S. sanctioned countries or regions appear to have accessed our platform. We have taken measures designed to prevent such situations from reoccurring, but there can be no guarantee that such measures will be successful in every case. If we are found to be in violation of U.S. sanctions or export control laws, it could result in substantial fines and penalties for us and for individuals working for us. Changes in export or import laws, or corresponding sanctions, may delay the introduction and sale of our services in international markets, or, in some cases, prevent the export or import of our services to certain countries, regions, governments, persons, or entities altogether, which could materially adversely affect our business, financial condition, and results of operations.</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also subject to various domestic and international anti-corruption laws, such as the FCPA and the UK Bribery Act, as well as other similar anti-bribery and anti-kickback laws and regulations. These laws and regulations generally prohibit companies and their employees and intermediaries from directly or indirectly authorizing, promising, offering, or providing payments or benefits to government officials and other recipients for improper purposes, such as to obtain or retain business improperly or secure an improper business advantage. We rely on certain third parties to support our sales and regulatory compliance efforts and can be held liable in certain cases for their corrupt or other illegal activities, even if we do not explicitly authorize such activities. The FCPA also requires that we keep accurate books and records and maintain a system of adequate internal controls. Although we take precautions to prevent violations of these laws, we cannot provide assurance that our internal controls and compliance systems will always prevent misconduct by our employees, agents, third parties, or business partners. Our exposure for violating these laws will increase as our international presence expands and as we increase sales and operations in foreign jurisdictions.</w:t>
      </w:r>
    </w:p>
    <w:p>
      <w:pPr>
        <w:spacing w:after="0" w:line="186"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Violations of applicable anti-corruption, export controls, or economic, and trade sanctions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Violations or allegations of violations could also result in whistleblower</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50" w:name="page51"/>
    <w:bookmarkEnd w:id="50"/>
    <w:p>
      <w:pPr>
        <w:ind w:right="500"/>
        <w:spacing w:after="0" w:line="281" w:lineRule="auto"/>
        <w:rPr>
          <w:sz w:val="20"/>
          <w:szCs w:val="20"/>
          <w:color w:val="auto"/>
        </w:rPr>
      </w:pPr>
      <w:r>
        <w:rPr>
          <w:rFonts w:ascii="Times New Roman" w:cs="Times New Roman" w:eastAsia="Times New Roman" w:hAnsi="Times New Roman"/>
          <w:sz w:val="18"/>
          <w:szCs w:val="18"/>
          <w:color w:val="auto"/>
        </w:rPr>
        <w:t>complaints, adverse media coverage, and investigations, any of which could have a material adverse effect on our reputation, business,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affected by the evolving regulatory framework for AI Technologies.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w:t>
      </w:r>
    </w:p>
    <w:p>
      <w:pPr>
        <w:spacing w:after="0" w:line="7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29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affected by sanctions, export controls, and similar measures targeting Russia and other countries and territories, as well as other responses to Russia’s invasion of Ukraine.</w:t>
      </w:r>
    </w:p>
    <w:p>
      <w:pPr>
        <w:spacing w:after="0" w:line="50"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As a result of Russia’s invasion of Ukraine, governmental authorities in the United States, the European Union, and the United Kingdom, among others, launched an expansion of coordinated sanctions and export control measures, including, for example:</w:t>
      </w:r>
    </w:p>
    <w:p>
      <w:pPr>
        <w:spacing w:after="0" w:line="55" w:lineRule="exact"/>
        <w:rPr>
          <w:sz w:val="20"/>
          <w:szCs w:val="20"/>
          <w:color w:val="auto"/>
        </w:rPr>
      </w:pPr>
    </w:p>
    <w:p>
      <w:pPr>
        <w:ind w:left="1020" w:right="440" w:hanging="504"/>
        <w:spacing w:after="0" w:line="28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sanctions on some of the largest state-owned and private Russian financial institutions (and their subsequent removal from the Society for Worldwide Interbank Financial Telecommunication payment system);</w:t>
      </w:r>
    </w:p>
    <w:p>
      <w:pPr>
        <w:spacing w:after="0" w:line="54" w:lineRule="exact"/>
        <w:rPr>
          <w:rFonts w:ascii="Times New Roman" w:cs="Times New Roman" w:eastAsia="Times New Roman" w:hAnsi="Times New Roman"/>
          <w:sz w:val="18"/>
          <w:szCs w:val="18"/>
          <w:color w:val="auto"/>
        </w:rPr>
      </w:pPr>
    </w:p>
    <w:p>
      <w:pPr>
        <w:ind w:left="1020" w:right="40" w:hanging="504"/>
        <w:spacing w:after="0" w:line="28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sanctions against Russian and Belarusian individuals, including the Russian President, other politicians, and those with government connections or involvement in Russian military activities;</w:t>
      </w:r>
    </w:p>
    <w:p>
      <w:pPr>
        <w:spacing w:after="0" w:line="54" w:lineRule="exact"/>
        <w:rPr>
          <w:rFonts w:ascii="Times New Roman" w:cs="Times New Roman" w:eastAsia="Times New Roman" w:hAnsi="Times New Roman"/>
          <w:sz w:val="18"/>
          <w:szCs w:val="18"/>
          <w:color w:val="auto"/>
        </w:rPr>
      </w:pPr>
    </w:p>
    <w:p>
      <w:pPr>
        <w:ind w:left="1020" w:right="220" w:hanging="504"/>
        <w:spacing w:after="0" w:line="28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sanctions against certain Russian businessmen and their businesses, some of which have significant financial and trade ties to the European Union;</w:t>
      </w:r>
    </w:p>
    <w:p>
      <w:pPr>
        <w:spacing w:after="0" w:line="54" w:lineRule="exact"/>
        <w:rPr>
          <w:rFonts w:ascii="Times New Roman" w:cs="Times New Roman" w:eastAsia="Times New Roman" w:hAnsi="Times New Roman"/>
          <w:sz w:val="18"/>
          <w:szCs w:val="18"/>
          <w:color w:val="auto"/>
        </w:rPr>
      </w:pPr>
    </w:p>
    <w:p>
      <w:pPr>
        <w:ind w:left="1020" w:right="140" w:hanging="504"/>
        <w:spacing w:after="0" w:line="28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of Russia’s foreign currency reserves and prohibition on secondary trading in Russian sovereign debt and certain transactions with the Russian Central Bank, National Wealth Fund, and the Ministry of Finance of the Russian Federation;</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sectoral sanctions in various sectors of the Russian and Belarusian economies and the defense sector;</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U.K. sanctions introducing restrictions on providing loans to, and dealing in securities issued by, persons connected with Russia;</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access to the financial and capital markets in the European Union, as well as prohibitions on aircraft leasing operations;</w:t>
      </w:r>
    </w:p>
    <w:p>
      <w:pPr>
        <w:spacing w:after="0" w:line="116" w:lineRule="exact"/>
        <w:rPr>
          <w:rFonts w:ascii="Times New Roman" w:cs="Times New Roman" w:eastAsia="Times New Roman" w:hAnsi="Times New Roman"/>
          <w:sz w:val="18"/>
          <w:szCs w:val="18"/>
          <w:color w:val="auto"/>
        </w:rPr>
      </w:pPr>
    </w:p>
    <w:p>
      <w:pPr>
        <w:ind w:left="1020" w:right="120" w:hanging="504"/>
        <w:spacing w:after="0" w:line="265"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prohibiting most commercial activities of U.S., U.K., and E.U. persons in the so-called People’s Republic of Donetsk and the so-called People’s Republic of Luhansk (and, with respect to the European Union, the areas of Kherson and Zaporizhzhia not controlled by the Ukrainian government), with all of these new restrictions largely tracking prior prohibitions relating to Crimea and Sevastopol;</w:t>
      </w:r>
    </w:p>
    <w:p>
      <w:pPr>
        <w:spacing w:after="0" w:line="69" w:lineRule="exact"/>
        <w:rPr>
          <w:rFonts w:ascii="Times New Roman" w:cs="Times New Roman" w:eastAsia="Times New Roman" w:hAnsi="Times New Roman"/>
          <w:sz w:val="18"/>
          <w:szCs w:val="18"/>
          <w:color w:val="auto"/>
        </w:rPr>
      </w:pPr>
    </w:p>
    <w:p>
      <w:pPr>
        <w:ind w:left="1020" w:hanging="504"/>
        <w:spacing w:after="0" w:line="258"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import and export controls and trade sanctions targeting Russia’s imports of technological goods, including E.U. and U.K. prohibitions on exporting a wide range of “industrial” goods to Russia (and on importing a large number of “revenue-generating” goods from Russia). The restrictions also include bans on the export of large numbers of “luxury” items to Russia (and in some cases also to Belarus), tighter controls on exports and reexports of dual-use items, stricter licensing policy with respect to issuing export licenses, and/or increased use of “end-use” controls to block or impose licensing requirements on exports, as well as higher import tariffs;</w:t>
      </w:r>
    </w:p>
    <w:p>
      <w:pPr>
        <w:spacing w:after="0" w:line="7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closure of airspace to Russian aircraft;</w:t>
      </w:r>
    </w:p>
    <w:p>
      <w:pPr>
        <w:spacing w:after="0" w:line="116" w:lineRule="exact"/>
        <w:rPr>
          <w:rFonts w:ascii="Times New Roman" w:cs="Times New Roman" w:eastAsia="Times New Roman" w:hAnsi="Times New Roman"/>
          <w:sz w:val="18"/>
          <w:szCs w:val="18"/>
          <w:color w:val="auto"/>
        </w:rPr>
      </w:pPr>
    </w:p>
    <w:p>
      <w:pPr>
        <w:ind w:left="1020" w:right="180" w:hanging="504"/>
        <w:spacing w:after="0" w:line="28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 on imports of Russian oil, liquefied natural gas, and coal to the United States and on “new investment” in Russia’s energy sector (often with similar bans being enacted in the United Kingdom and the European Union);</w:t>
      </w:r>
    </w:p>
    <w:p>
      <w:pPr>
        <w:spacing w:after="0" w:line="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0" w:right="379" w:bottom="1440" w:gutter="0" w:footer="0" w:header="0"/>
        </w:sectPr>
      </w:pPr>
    </w:p>
    <w:bookmarkStart w:id="51" w:name="page52"/>
    <w:bookmarkEnd w:id="51"/>
    <w:p>
      <w:pPr>
        <w:ind w:left="1020" w:right="460" w:hanging="504"/>
        <w:spacing w:after="0" w:line="28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 on imports of Russian fish, seafood, and preparations thereof, alcoholic beverages, non-industrial diamonds, and gold to the United States;</w:t>
      </w:r>
    </w:p>
    <w:p>
      <w:pPr>
        <w:spacing w:after="0" w:line="54" w:lineRule="exact"/>
        <w:rPr>
          <w:rFonts w:ascii="Times New Roman" w:cs="Times New Roman" w:eastAsia="Times New Roman" w:hAnsi="Times New Roman"/>
          <w:sz w:val="18"/>
          <w:szCs w:val="18"/>
          <w:color w:val="auto"/>
        </w:rPr>
      </w:pPr>
    </w:p>
    <w:p>
      <w:pPr>
        <w:ind w:left="1020" w:right="340" w:hanging="504"/>
        <w:spacing w:after="0" w:line="28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 on “new investment” in the Russian Federation by a U.S. person, which may be interpreted broadly (with a similar prohibition also enacted by the United Kingdom);</w:t>
      </w:r>
    </w:p>
    <w:p>
      <w:pPr>
        <w:spacing w:after="0" w:line="54" w:lineRule="exact"/>
        <w:rPr>
          <w:rFonts w:ascii="Times New Roman" w:cs="Times New Roman" w:eastAsia="Times New Roman" w:hAnsi="Times New Roman"/>
          <w:sz w:val="18"/>
          <w:szCs w:val="18"/>
          <w:color w:val="auto"/>
        </w:rPr>
      </w:pPr>
    </w:p>
    <w:p>
      <w:pPr>
        <w:ind w:left="1020" w:right="600" w:hanging="504"/>
        <w:spacing w:after="0" w:line="28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bans on the provision of certain professional services, including accounting, trust and corporate formation, auditing, and management consulting services, among others; and</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bans on the provision of services related to the worldwide maritime transportation of seaborne Russian oil, if purchased above a specific price cap.</w:t>
      </w:r>
    </w:p>
    <w:p>
      <w:pPr>
        <w:spacing w:after="0" w:line="16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the war in Ukraine continues, there can be no certainty regarding whether the governmental authorities in the United States, the European Union, the United Kingdom, or other countries will impose additional sanctions, export controls, or other measures targeting Russia, Belarus, or other territories. Furthermore, 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w:t>
      </w:r>
    </w:p>
    <w:p>
      <w:pPr>
        <w:spacing w:after="0" w:line="18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business must be conducted in compliance with applicable economic and trade sanctions laws and regulations, including those administered and enforced by the U.S. Department of Treasury’s Office of Foreign Assets Control, the U.S. Department of State, the U.S. Department of Commerce, the United Nations Security Council, and other relevant governmental authorities. We must be ready to comply with the existing and any other potential additional measures imposed in connection with the war in Ukraine. The imposition of such measures could adversely impact our business, including preventing us from performing existing contracts, recognizing revenue, pursuing new business opportunities, or receiving payment for subscriptions from our existing customers.</w:t>
      </w:r>
    </w:p>
    <w:p>
      <w:pPr>
        <w:spacing w:after="0" w:line="18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believe we do not currently have contracts directly with the entities or businesses on a sanctions-related list of designated persons maintained by OFAC, the U.S. Department of State, the United Nations Security Council, the European Union, any Member States of the European Union, or the United Kingdom, and we currently do not have facilities or employees in Russia, Belarus, the Crimea Region of Ukraine, the so-called Donetsk People’s Republic, or the so-called Luhansk People’s Republic. We continue to review and monitor our contractual relationships with suppliers and customers to establish whether any are implicated by applicable sanctions. However, given the range of possible outcomes, the full costs, burdens, and limitations on our and our customer’s and business partners’ businesses are currently unknown and may become significant. As a result, based on the extent and breadth of sanctions, export controls, and other measures that may be imposed and related effects in connection with the war in Ukraine, it is possible that our business, financial condition, and results of operations could be materially adversely affected.</w:t>
      </w:r>
    </w:p>
    <w:p>
      <w:pPr>
        <w:spacing w:after="0" w:line="293" w:lineRule="exact"/>
        <w:rPr>
          <w:sz w:val="20"/>
          <w:szCs w:val="20"/>
          <w:color w:val="auto"/>
        </w:rPr>
      </w:pPr>
    </w:p>
    <w:p>
      <w:pPr>
        <w:ind w:right="18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spacing w:after="0" w:line="4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federal, state, local, and foreign privacy and data protection laws, regulations, policies, and contractual obligations that apply to the collection, transmission, storage, processing, sharing, disclosure, security, and use of personal information or personal data which, among other things, impose certain requirements relating to the privacy and security of personal information and other data. Laws and regulations governing privacy and data protection, the use of the internet as a commercial medium, the use of data in AI and ML, and data sovereignty requirements are rapidly evolving, extensive, complex, and include inconsistencies and uncertainties and may conflict with other rules or our practices. Further, new laws, rules, and regulations could be enacted with which we are not familiar or with which our current practices do not comply.</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52" w:name="page53"/>
    <w:bookmarkEnd w:id="52"/>
    <w:p>
      <w:pPr>
        <w:ind w:firstLine="509"/>
        <w:spacing w:after="0" w:line="252" w:lineRule="auto"/>
        <w:rPr>
          <w:sz w:val="20"/>
          <w:szCs w:val="20"/>
          <w:color w:val="auto"/>
        </w:rPr>
      </w:pPr>
      <w:r>
        <w:rPr>
          <w:rFonts w:ascii="Times New Roman" w:cs="Times New Roman" w:eastAsia="Times New Roman" w:hAnsi="Times New Roman"/>
          <w:sz w:val="18"/>
          <w:szCs w:val="18"/>
          <w:color w:val="auto"/>
        </w:rPr>
        <w:t>We may incur significant expenses to comply with the laws, regulations, and other obligations that apply to us. For example, the GDPR went into effect in May 2018 and imposes stringent data protection requirements for processing the personal data of individuals within the EEA or in the context of our activities within the EEA, including certain disclosure requirements, limitations on retention of personal data, mandatory data breach notification requirements, and additional obligations. Non-compliance with the GDPR can trigger fines of up to the greater of €20 million or 4% of our global annual turnover.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clauses—a standard form of contract approved by the European Commission as an adequate personal data transfer mechanism—alone may not necessarily be sufficient in all circumstances and that transfers must be assessed on a case-by-case basis. The European Commission adopted its Adequacy Decision in relation to the new E.U.-U.S. Data Privacy Framework (“DPF”) on July 10, 2023, rendering the DPF effective as a GDPR transfer mechanism to U.S. entities self-certified under the DPF. We expect the regulatory guidance and enforcement landscape to continue to develop, in relation to transfers to the United States and elsewhere. As a result, we may have to make certain operational changes and we will have to implement revised standard contractual clauses and other relevant documentation for existing data transfers within required time frames.</w:t>
      </w:r>
    </w:p>
    <w:p>
      <w:pPr>
        <w:spacing w:after="0" w:line="19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Since the beginning of 2021, companies have also had to comply with both the GDPR and the UK GDPR, which, together with the amended UK Data Protection Act 2018, retains the GDPR in U.K. national law. The UK GDPR mirrors the fines under the GDPR, imposing fines up to the greater of €20 million (£17.5 million) or 4% of a non-compliant undertaking’s annual global revenue for the preceding financial year. On October 12, 2023, the UK Extension to the DPF came into effect (as approved by the U.K. Government), as a data transfer mechanism from the United Kingdom to U.S. entities self-certified under the DPF. As we continue to expand into other foreign countries and jurisdictions, we may be subject to additional laws and regulations that may affect how we conduct business.</w:t>
      </w:r>
    </w:p>
    <w:p>
      <w:pPr>
        <w:spacing w:after="0" w:line="186"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7"/>
          <w:szCs w:val="17"/>
          <w:color w:val="auto"/>
        </w:rPr>
        <w:t>In addition to the European Union and United Kingdom,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Digital Analytics Platform, harm to our reputation, and could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spacing w:after="0" w:line="17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data protection landscape is also rapidly growing and evolving in the United States. As our operations and business grow, we may become subject to or affected by new or additional data protection laws and regulations and face increased scrutiny or attention from regulatory authorities. For example, the California Consumer Privacy Act of 2018,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been passed in other states and are continuing to be proposed at the state and federal level, reflecting a trend toward more stringent privacy legislation in the United States. The enactment of such laws may have potentially conflicting requirements that would make compliance challenging.</w:t>
      </w:r>
    </w:p>
    <w:p>
      <w:pPr>
        <w:spacing w:after="0" w:line="19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Furthermore,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states’ attorneys general to regulate the collection, use, storage, and disclosure of personal or personally identifiable information, through websites or otherwise, and to regulate the presentation of website content. There are also a number of legislative proposals in the United States, at both the federal and state</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0" w:right="379" w:bottom="1440" w:gutter="0" w:footer="0" w:header="0"/>
        </w:sectPr>
      </w:pPr>
    </w:p>
    <w:bookmarkStart w:id="53" w:name="page54"/>
    <w:bookmarkEnd w:id="53"/>
    <w:p>
      <w:pPr>
        <w:spacing w:after="0" w:line="312" w:lineRule="auto"/>
        <w:rPr>
          <w:sz w:val="20"/>
          <w:szCs w:val="20"/>
          <w:color w:val="auto"/>
        </w:rPr>
      </w:pPr>
      <w:r>
        <w:rPr>
          <w:rFonts w:ascii="Times New Roman" w:cs="Times New Roman" w:eastAsia="Times New Roman" w:hAnsi="Times New Roman"/>
          <w:sz w:val="17"/>
          <w:szCs w:val="17"/>
          <w:color w:val="auto"/>
        </w:rPr>
        <w:t>level, and in the European Union and elsewhere, that could impose new obligations in areas such as e-commerce and other related legislation or liability for copyright infringement by third parties. We cannot yet determine the impact that these future laws, regulations, and standards may have on our business.</w:t>
      </w:r>
    </w:p>
    <w:p>
      <w:pPr>
        <w:spacing w:after="0" w:line="13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costs and liability to us and damage to our reputation, and could adversely affect our business and results of operations. In addition, if our practices are not consistent, or viewed as not consistent, with legal and regulatory requirements, including changes in laws, regulations, and standards or new interpretations or applications of existing laws, regulations, and standards, we may also become subject to audits, inquiries, whistleblower complaints, adverse media coverage, investigations, or criminal or civil sanctions, all of which may harm our business, financial condition, and results of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materially adversely affect our business, financial condition, and results of operations. Insurance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A claim brought against us that is uninsured or underinsured could result in unanticipated costs, potentially having a material adverse effect on our business, financial condition, and results of operations. In addition, we cannot be sure that our existing insurance coverage and coverage for errors and omissions will continue to be available on acceptable terms or that our insurers will not deny coverage as to any future claim.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 and Accounting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exposure to foreign currency exchange rate fluctuations.</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conduct transactions, particularly intercompany transactions, in currencies other than the U.S. dollar. While we have primarily transacted with customers and vendors in U.S. dollars, we have transacted in foreign currencies for subscriptions to our Digital Analytics Platform, and we expect to significantly expand the number of transactions with customers for our Digital Analytics Platform that are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Australian Dollar, and Japanese Yen. In addition, our international subsidiaries maintain net assets denominated in currencies other than the functional operating currencies of these entities. Accordingly, changes in the value of foreign currencies relative to the U.S. dollar can affect our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 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these hedging instruments may not offset any, or more than a portion of, the adverse financial effects of unfavorable movements in foreign exchange rates over the limited time the hedges are in place, and may introduce additional risks if they are not structured effectively.</w:t>
      </w:r>
    </w:p>
    <w:p>
      <w:pPr>
        <w:spacing w:after="0" w:line="194"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In addition, our international subsidiaries maintain net assets denominated in currencies other than the functional operating currencies of these entities. Accordingly, changes in the value of foreign currencies relative to the U.S. dollar can affect our revenue and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global operations and structure subject us to potentially adverse tax consequences.</w:t>
      </w:r>
    </w:p>
    <w:p>
      <w:pPr>
        <w:spacing w:after="0" w:line="121"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We generally conduct our global operations through subsidiaries and report our taxable income in various jurisdictions worldwide based upon our business operations in those jurisdictions. A change in our global operations could result in higher effective tax rates, reduced cash flows, and lower overall profitability. In particular, our intercompany relationships are subject to complex</w:t>
      </w:r>
    </w:p>
    <w:p>
      <w:pPr>
        <w:spacing w:after="0" w:line="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0" w:right="379" w:bottom="1440" w:gutter="0" w:footer="0" w:header="0"/>
        </w:sectPr>
      </w:pPr>
    </w:p>
    <w:bookmarkStart w:id="54" w:name="page55"/>
    <w:bookmarkEnd w:id="54"/>
    <w:p>
      <w:pPr>
        <w:ind w:right="60"/>
        <w:spacing w:after="0" w:line="260" w:lineRule="auto"/>
        <w:rPr>
          <w:sz w:val="20"/>
          <w:szCs w:val="20"/>
          <w:color w:val="auto"/>
        </w:rPr>
      </w:pPr>
      <w:r>
        <w:rPr>
          <w:rFonts w:ascii="Times New Roman" w:cs="Times New Roman" w:eastAsia="Times New Roman" w:hAnsi="Times New Roman"/>
          <w:sz w:val="18"/>
          <w:szCs w:val="18"/>
          <w:color w:val="auto"/>
        </w:rPr>
        <w:t>transfer pricing regulations administered by taxing authorities in various jurisdictions.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8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addition, over the past several years, the Organisation for Economic Co-operation and Development (the “OECD”) has been working on a base erosion and profit shifting (“BEPS”) project that seeks to establish certain international standards for taxing the worldwide income of multinational companies. As part of the OECD’s BEPS project, over 130 member jurisdictions of the OECD Inclusive Framework have joined the Two-Pillar Solution to Address the Tax Challenges of the Digitalisation of the Economy, which includes a reallocation of taxing rights among jurisdictions and a global minimum tax rate of 15%. As a result of these developments, the tax laws of certain countries in which we do business could change on a prospective or retroactive basis, and any such changes could increase our liabilities for taxes, interest, and penalties, and therefore could materially adversely affect our cash flows, financial condition, and results of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may be limited.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(the “Code”), and corresponding provisions of state law, if a corporation undergoes an “ownership change,” which is generally defined as a greater than 50 percentage point change (by value) in its equity ownership by certain stockholders over a three-year period, the corporation’s ability to use its pre-change net operating loss carryforwards (“NOLs”) to offset its post-change income or taxes may be limited. We have completed a Section 382 study through December 31, 2023 and have determined that none of our NOLs generated through December 31, 2023 will expire solely due to Section 382 limitations caused by ownership changes prior to December 31, 2023. However, we may have experienced ownership changes after December 31, 2023, and may experience ownership changes as a result of subsequent shifts in our stock ownership, some of which may be outside of our control. Such a change or changes could limit the amount of NOLs that we can utilize annually to offset future taxable income. Other limitations, such as those under the Tax Cuts and Jobs Act, as modified by the Coronavirus Aid, Relief, and Economic Security Act (the “CARES Act”), which limit the deductibility of federal NOLs in taxable years beginning after December 31, 2020, to 80% of taxable income, and subsequent changes to the U.S. tax rules in respect of the utilization of NOLs may further affect our ability to use our NOLs in future years. In addition, at the state level, there may be periods during which the use of NOLs is suspended or otherwise limited, which could accelerate or permanently increase state taxes owed.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liability may have a material adverse effect on our results of operations.</w:t>
      </w:r>
    </w:p>
    <w:p>
      <w:pPr>
        <w:spacing w:after="0" w:line="121" w:lineRule="exact"/>
        <w:rPr>
          <w:sz w:val="20"/>
          <w:szCs w:val="20"/>
          <w:color w:val="auto"/>
        </w:rPr>
      </w:pPr>
    </w:p>
    <w:p>
      <w:pPr>
        <w:ind w:right="180" w:firstLine="509"/>
        <w:spacing w:after="0" w:line="280" w:lineRule="auto"/>
        <w:rPr>
          <w:sz w:val="20"/>
          <w:szCs w:val="20"/>
          <w:color w:val="auto"/>
        </w:rPr>
      </w:pPr>
      <w:r>
        <w:rPr>
          <w:rFonts w:ascii="Times New Roman" w:cs="Times New Roman" w:eastAsia="Times New Roman" w:hAnsi="Times New Roman"/>
          <w:sz w:val="17"/>
          <w:szCs w:val="17"/>
          <w:color w:val="auto"/>
        </w:rPr>
        <w:t>We are subject to income taxes in the United States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condensed consolidated financial statements and may materially affect our financial results in the period or periods in which such outcome is determined.</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effective tax rate could increase due to several factors, including:</w:t>
      </w:r>
    </w:p>
    <w:p>
      <w:pPr>
        <w:spacing w:after="0" w:line="117" w:lineRule="exact"/>
        <w:rPr>
          <w:sz w:val="20"/>
          <w:szCs w:val="20"/>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116" w:lineRule="exact"/>
        <w:rPr>
          <w:rFonts w:ascii="Times New Roman" w:cs="Times New Roman" w:eastAsia="Times New Roman" w:hAnsi="Times New Roman"/>
          <w:sz w:val="18"/>
          <w:szCs w:val="18"/>
          <w:color w:val="auto"/>
        </w:rPr>
      </w:pPr>
    </w:p>
    <w:p>
      <w:pPr>
        <w:ind w:left="1020" w:right="260" w:hanging="504"/>
        <w:spacing w:after="0" w:line="281"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 such as the Tax Cuts and Jobs Act, the CARES Act, and the Inflation Reduction Act;</w:t>
      </w:r>
    </w:p>
    <w:p>
      <w:pPr>
        <w:spacing w:after="0" w:line="54" w:lineRule="exact"/>
        <w:rPr>
          <w:rFonts w:ascii="Times New Roman" w:cs="Times New Roman" w:eastAsia="Times New Roman" w:hAnsi="Times New Roman"/>
          <w:sz w:val="18"/>
          <w:szCs w:val="18"/>
          <w:color w:val="auto"/>
        </w:rPr>
      </w:pPr>
    </w:p>
    <w:p>
      <w:pPr>
        <w:ind w:left="1020" w:right="260" w:hanging="504"/>
        <w:spacing w:after="0" w:line="281"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developments could materially adversely affect our results of operations.</w:t>
      </w:r>
    </w:p>
    <w:p>
      <w:pPr>
        <w:spacing w:after="0" w:line="225" w:lineRule="exact"/>
        <w:rPr>
          <w:sz w:val="20"/>
          <w:szCs w:val="20"/>
          <w:color w:val="auto"/>
        </w:rPr>
      </w:pPr>
    </w:p>
    <w:p>
      <w:pPr>
        <w:ind w:right="260" w:firstLine="509"/>
        <w:spacing w:after="0" w:line="260" w:lineRule="auto"/>
        <w:rPr>
          <w:sz w:val="20"/>
          <w:szCs w:val="20"/>
          <w:color w:val="auto"/>
        </w:rPr>
      </w:pPr>
      <w:r>
        <w:rPr>
          <w:rFonts w:ascii="Times New Roman" w:cs="Times New Roman" w:eastAsia="Times New Roman" w:hAnsi="Times New Roman"/>
          <w:sz w:val="18"/>
          <w:szCs w:val="18"/>
          <w:color w:val="auto"/>
        </w:rPr>
        <w:t>In addition, we may be subject to income tax audits by many tax jurisdictions throughout the world, many of which have not established clear guidance on the tax treatment of SaaS-based companies. Although we believe our income tax liabilities are reasonably estimated and accounted for in accordance with applicable laws and principles, an adverse resolution of one or more uncertain tax positions in any period could have a material adverse effect on the results of operations for that period.</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55" w:name="page56"/>
    <w:bookmarkEnd w:id="55"/>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collect additional sales or indirect taxes or be subject to other tax liabilities that may increase the costs our customers would have to pay for our products and materially adversely affect our results of operations.</w:t>
      </w:r>
    </w:p>
    <w:p>
      <w:pPr>
        <w:spacing w:after="0" w:line="5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currently collect and remit applicable sales and indirect taxes and other applicable transfer taxes in jurisdictions where we, through our employees or economic activity, have a presence and where we have determined, based on applicable legal precedents, that sales or licensing of our products are classified as taxable. We do not currently collect and remit state and local excise, utility user and ad valorem taxes, fees, or surcharges in jurisdictions where we believe we do not have sufficient “nexus.” There is uncertainty as to what constitutes sufficient nexus for a state or local jurisdiction to levy taxes, fees, and surcharges for sales made over the internet, and there is also uncertainty as to whether our characterization of our products as not taxable in certain jurisdictions will be accepted by state and local tax authorities.</w:t>
      </w:r>
    </w:p>
    <w:p>
      <w:pPr>
        <w:spacing w:after="0" w:line="18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An increasing number of states have considered or adopted laws that attempt to impose tax collection obligations on out-of-state companies. Additionally, the Supreme Court of the United States ruled in </w:t>
      </w:r>
      <w:r>
        <w:rPr>
          <w:rFonts w:ascii="Times New Roman" w:cs="Times New Roman" w:eastAsia="Times New Roman" w:hAnsi="Times New Roman"/>
          <w:sz w:val="18"/>
          <w:szCs w:val="18"/>
          <w:i w:val="1"/>
          <w:iCs w:val="1"/>
          <w:color w:val="auto"/>
        </w:rPr>
        <w:t>South Dakota v. Wayfair, Inc.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Wayfair</w:t>
      </w:r>
      <w:r>
        <w:rPr>
          <w:rFonts w:ascii="Times New Roman" w:cs="Times New Roman" w:eastAsia="Times New Roman" w:hAnsi="Times New Roman"/>
          <w:sz w:val="18"/>
          <w:szCs w:val="18"/>
          <w:color w:val="auto"/>
        </w:rPr>
        <w:t xml:space="preserve">”), that online sellers can be required to collect sales and use tax despite not having a physical presence in the buyer’s state. In response to </w:t>
      </w:r>
      <w:r>
        <w:rPr>
          <w:rFonts w:ascii="Times New Roman" w:cs="Times New Roman" w:eastAsia="Times New Roman" w:hAnsi="Times New Roman"/>
          <w:sz w:val="18"/>
          <w:szCs w:val="18"/>
          <w:i w:val="1"/>
          <w:iCs w:val="1"/>
          <w:color w:val="auto"/>
        </w:rPr>
        <w:t>Wayfair</w:t>
      </w:r>
      <w:r>
        <w:rPr>
          <w:rFonts w:ascii="Times New Roman" w:cs="Times New Roman" w:eastAsia="Times New Roman" w:hAnsi="Times New Roman"/>
          <w:sz w:val="18"/>
          <w:szCs w:val="18"/>
          <w:color w:val="auto"/>
        </w:rPr>
        <w:t>,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121"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U.S. generally accepted accounting principles (“U.S. GAAP”) are subject to interpretation by the Financial Accounting Standards Board, the Securities and Exchange Commission (the “SEC”), and various bodies formed to promulgate and interpret appropriate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28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materially adversely affected.</w:t>
      </w:r>
    </w:p>
    <w:p>
      <w:pPr>
        <w:spacing w:after="0" w:line="5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condensed consolidated financial statements and accompanying notes appearing elsewhere in this Quarterly Report on Form 10-Q.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within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involve those related to revenue recognition, deferred commissions, valuation of our stock-based compensation awards, including the determination of the fair value of our common stock, valuation of goodwill and intangible assets, accounting for income taxes, and useful lives of long-lived assets, among others. Our results of operations may be materially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intangible assets become impaired, we may be required to record a significant charge to earnings.</w:t>
      </w:r>
    </w:p>
    <w:p>
      <w:pPr>
        <w:spacing w:after="0" w:line="121" w:lineRule="exact"/>
        <w:rPr>
          <w:sz w:val="20"/>
          <w:szCs w:val="20"/>
          <w:color w:val="auto"/>
        </w:rPr>
      </w:pPr>
    </w:p>
    <w:p>
      <w:pPr>
        <w:ind w:right="260" w:firstLine="509"/>
        <w:spacing w:after="0" w:line="260" w:lineRule="auto"/>
        <w:rPr>
          <w:sz w:val="20"/>
          <w:szCs w:val="20"/>
          <w:color w:val="auto"/>
        </w:rPr>
      </w:pPr>
      <w:r>
        <w:rPr>
          <w:rFonts w:ascii="Times New Roman" w:cs="Times New Roman" w:eastAsia="Times New Roman" w:hAnsi="Times New Roman"/>
          <w:sz w:val="18"/>
          <w:szCs w:val="18"/>
          <w:color w:val="auto"/>
        </w:rPr>
        <w:t>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have a material adverse effect on our results of operations.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has been, and in the future, may be, volatile, and could decline significantly and rapidly.</w:t>
      </w:r>
    </w:p>
    <w:p>
      <w:pPr>
        <w:spacing w:after="0" w:line="121" w:lineRule="exact"/>
        <w:rPr>
          <w:sz w:val="20"/>
          <w:szCs w:val="20"/>
          <w:color w:val="auto"/>
        </w:rPr>
      </w:pPr>
    </w:p>
    <w:p>
      <w:pPr>
        <w:ind w:right="520" w:firstLine="509"/>
        <w:spacing w:after="0" w:line="281" w:lineRule="auto"/>
        <w:rPr>
          <w:sz w:val="20"/>
          <w:szCs w:val="20"/>
          <w:color w:val="auto"/>
        </w:rPr>
      </w:pPr>
      <w:r>
        <w:rPr>
          <w:rFonts w:ascii="Times New Roman" w:cs="Times New Roman" w:eastAsia="Times New Roman" w:hAnsi="Times New Roman"/>
          <w:sz w:val="18"/>
          <w:szCs w:val="18"/>
          <w:color w:val="auto"/>
        </w:rPr>
        <w:t>The trading price of our Class A common stock has fluctuated and may in the future fluctuate substantially in response to numerous factors in addition to the ones described in the preceding risk factors, many of which are beyond our control, including:</w:t>
      </w:r>
    </w:p>
    <w:p>
      <w:pPr>
        <w:spacing w:after="0" w:line="55" w:lineRule="exact"/>
        <w:rPr>
          <w:sz w:val="20"/>
          <w:szCs w:val="20"/>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results of operations, or operating metrics and those of our competitors;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 or our failure to meet these projections;</w:t>
      </w:r>
    </w:p>
    <w:p>
      <w:pPr>
        <w:spacing w:after="0" w:line="116"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us, changes in financial estimates by any securities analysts who follow our company, or variance in our financial performance from expectations of securities analysts;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our Digital Analytics Platform;</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or growth rate of our addressable markets;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Digital Analytics Platform;</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platform;</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board of directors, senior management, or key personnel;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Class A common stock made available for trading;</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w:t>
      </w:r>
    </w:p>
    <w:p>
      <w:pPr>
        <w:spacing w:after="0" w:line="116"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and industry conditions, including economic slowdowns, recessions, inflationary pressures, rising interest rates, financial market fluctuations, and reduced credit availability;</w:t>
      </w:r>
    </w:p>
    <w:p>
      <w:pPr>
        <w:spacing w:after="0" w:line="54" w:lineRule="exact"/>
        <w:rPr>
          <w:rFonts w:ascii="Times New Roman" w:cs="Times New Roman" w:eastAsia="Times New Roman" w:hAnsi="Times New Roman"/>
          <w:sz w:val="18"/>
          <w:szCs w:val="18"/>
          <w:color w:val="auto"/>
        </w:rPr>
      </w:pPr>
    </w:p>
    <w:p>
      <w:pPr>
        <w:ind w:left="1020" w:right="180" w:hanging="504"/>
        <w:spacing w:after="0" w:line="28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or armed conflicts (including those in Ukraine and the Middle East), incidents of terrorism, pandemics (such as the COVID-19 pandemic or similar outbreaks of disease), elections, or responses to these events; and</w:t>
      </w:r>
    </w:p>
    <w:p>
      <w:pPr>
        <w:spacing w:after="0" w:line="54" w:lineRule="exact"/>
        <w:rPr>
          <w:rFonts w:ascii="Times New Roman" w:cs="Times New Roman" w:eastAsia="Times New Roman" w:hAnsi="Times New Roman"/>
          <w:sz w:val="18"/>
          <w:szCs w:val="18"/>
          <w:color w:val="auto"/>
        </w:rPr>
      </w:pPr>
    </w:p>
    <w:p>
      <w:pPr>
        <w:ind w:left="1020" w:right="60" w:hanging="504"/>
        <w:spacing w:after="0" w:line="28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investors or securities analysts view our stock structure unfavorably, particularly our dual class structure and the concentrated voting control of our executive officers, directors, and their affiliates.</w:t>
      </w:r>
    </w:p>
    <w:p>
      <w:pPr>
        <w:spacing w:after="0" w:line="16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stock markets with respect to newly public companies, particularly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In the past, companies that have experienced volatility in the trading price of their securities have been subject to securities class action litigation. In February 2024, a purported securities class action complaint was filed against us and certain of our current and former officers in U.S. federal court, and we may be the target of this type of litigation in the future. Our involvement in these types of litigation or other securities litigation could result in substantial expenses, divert resources and our management’s attention, and harm our business, results of operations and financial condition.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principal stockholders have the ability to influence the outcome of director elections and other matters requiring stockholder approval.</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of the date of this Quarterly Report on Form 10-Q, our directors, executive officers, and holders of more than 5% of our capital stock and their affiliates collectively beneficially own, in the aggregate, shares representing a substantial majority of the combined voting power of our outstanding Class A and Class B common stock. These stockholders currently have, and likely will continue to have, considerable influence with respect to the election of our board of directors and approval or disapproval of all significant corporate actions. The concentrated voting power of these stockholders could have the effect of delaying or preventing a significant corporate transaction, such as a merger or other sale of our company or our assets. This concentration of ownership limits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57" w:name="page58"/>
    <w:bookmarkEnd w:id="57"/>
    <w:p>
      <w:pPr>
        <w:ind w:right="160"/>
        <w:spacing w:after="0" w:line="281" w:lineRule="auto"/>
        <w:rPr>
          <w:sz w:val="20"/>
          <w:szCs w:val="20"/>
          <w:color w:val="auto"/>
        </w:rPr>
      </w:pPr>
      <w:r>
        <w:rPr>
          <w:rFonts w:ascii="Times New Roman" w:cs="Times New Roman" w:eastAsia="Times New Roman" w:hAnsi="Times New Roman"/>
          <w:sz w:val="18"/>
          <w:szCs w:val="18"/>
          <w:color w:val="auto"/>
        </w:rPr>
        <w:t>the ability of other stockholders to influence corporate matters and may cause us to make strategic decisions that could be adverse to the interests of other stockholders.</w:t>
      </w:r>
    </w:p>
    <w:p>
      <w:pPr>
        <w:spacing w:after="0" w:line="266"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our existing stockholders, executive officers, and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7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Class B common stock has five votes per share, whereas our Class A common stock, which is listed on the Nasdaq Capital Market, has one vote per share. Because of the five-to-one voting ratio between our Class B common stock and our Class A common stock, the holders of our Class B common stock are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until the date that is six months following the date on which no founder is an employee or director of our company (unless a founder has rejoined our company during such six-month period), when all outstanding shares of Class A common stock and Class B common stock will convert automatically into shares of a single class of common stock. This concentration of ownership limits the ability of other stockholders to influence corporate matters and may cause us to make strategic decisions that could involve risks to you or that may not be aligned with your interests. This control may adversely affect the trading price of our Class A common stock.</w:t>
      </w:r>
    </w:p>
    <w:p>
      <w:pPr>
        <w:spacing w:after="0" w:line="18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estate-planning purposes. The conversion of shares of our Class B common stock into shares of our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82"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In addition, while we do not expect to issue any additional shares of Class B common stock, any future issuances of Class B common stock would be dilutive to holders of Class A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trading price of our Class A common stock.</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We cannot predict whether our dual class structure, combined with the concentrated control of our stockholders who held our capital stock prior to the listing of our Class A common stock on the Nasdaq Capital Market, including our executive officers, employees, and directors and their affiliates, will result in a lower or more volatile trading price of our Class A common stock or in adverse publicity or other adverse consequences. For example, certain index providers, such as FTSE Russell, exclude or limit the eligibility of public companies with multiple classes of shares of common stock for certain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trading price of our Class A common stock could be adversely affected.</w:t>
      </w:r>
    </w:p>
    <w:p>
      <w:pPr>
        <w:spacing w:after="0" w:line="290"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None of our stockholders are party to any contractual lock-up agreement or other contractual restrictions on transfer. Sales of substantial amounts of our Class A common stock in the public markets, or the perception that sales might occur, could cause the trading price of our Class A common stock to decline.</w:t>
      </w:r>
    </w:p>
    <w:p>
      <w:pPr>
        <w:spacing w:after="0" w:line="66" w:lineRule="exact"/>
        <w:rPr>
          <w:sz w:val="20"/>
          <w:szCs w:val="20"/>
          <w:color w:val="auto"/>
        </w:rPr>
      </w:pPr>
    </w:p>
    <w:p>
      <w:pPr>
        <w:jc w:val="both"/>
        <w:ind w:right="240" w:firstLine="509"/>
        <w:spacing w:after="0" w:line="265" w:lineRule="auto"/>
        <w:rPr>
          <w:sz w:val="20"/>
          <w:szCs w:val="20"/>
          <w:color w:val="auto"/>
        </w:rPr>
      </w:pPr>
      <w:r>
        <w:rPr>
          <w:rFonts w:ascii="Times New Roman" w:cs="Times New Roman" w:eastAsia="Times New Roman" w:hAnsi="Times New Roman"/>
          <w:sz w:val="18"/>
          <w:szCs w:val="18"/>
          <w:color w:val="auto"/>
        </w:rPr>
        <w:t>In addition to the supply and demand and volatility factors discussed above, sales of a substantial number of shares of our Class A common stock into the public market, particularly sales by our directors, executive officers, and principal stockholders, or the perception that these sales might occur in large quantities, could cause the trading price of our Class A common stock to decline.</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 of our securityholders are subject to any contractual lock-up or other contractual restriction on the transfer or sale of their shares.</w:t>
      </w:r>
    </w:p>
    <w:p>
      <w:pPr>
        <w:spacing w:after="0" w:line="225"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Moreover, assuming the availability of certain public information about us, (i) non-affiliates who have beneficially owned our common stock for at least six months may rely on Rule 144 to sell their shares of common stock, and (ii) our directors, executive officers, and other affiliates who have beneficially owned our common stock for at least six months will be entitled to sell their shares of our Class A common stock subject to volume and other limitations under Rule 144 and various vesting agreements.</w:t>
      </w:r>
    </w:p>
    <w:p>
      <w:pPr>
        <w:spacing w:after="0" w:line="182"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In addition, we have filed registration statements to register all shares subject to options and RSUs outstanding or reserved for future issuance under our equity compensation plans. As of March 31, 2024, we had options outstanding that, if fully exercised, would</w:t>
      </w:r>
    </w:p>
    <w:p>
      <w:pPr>
        <w:spacing w:after="0" w:line="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58" w:name="page59"/>
    <w:bookmarkEnd w:id="58"/>
    <w:p>
      <w:pPr>
        <w:ind w:right="40"/>
        <w:spacing w:after="0" w:line="281" w:lineRule="auto"/>
        <w:rPr>
          <w:sz w:val="20"/>
          <w:szCs w:val="20"/>
          <w:color w:val="auto"/>
        </w:rPr>
      </w:pPr>
      <w:r>
        <w:rPr>
          <w:rFonts w:ascii="Times New Roman" w:cs="Times New Roman" w:eastAsia="Times New Roman" w:hAnsi="Times New Roman"/>
          <w:sz w:val="18"/>
          <w:szCs w:val="18"/>
          <w:color w:val="auto"/>
        </w:rPr>
        <w:t>result in the issuance of 13,504,931 shares of Class A common stock, as well as 10,091,214 shares of Class A common stock subject to restricted stock unit (“RSU”) awards.</w:t>
      </w:r>
    </w:p>
    <w:p>
      <w:pPr>
        <w:spacing w:after="0" w:line="163" w:lineRule="exact"/>
        <w:rPr>
          <w:sz w:val="20"/>
          <w:szCs w:val="20"/>
          <w:color w:val="auto"/>
        </w:rPr>
      </w:pPr>
    </w:p>
    <w:p>
      <w:pPr>
        <w:ind w:right="820" w:firstLine="509"/>
        <w:spacing w:after="0" w:line="281" w:lineRule="auto"/>
        <w:rPr>
          <w:sz w:val="20"/>
          <w:szCs w:val="20"/>
          <w:color w:val="auto"/>
        </w:rPr>
      </w:pPr>
      <w:r>
        <w:rPr>
          <w:rFonts w:ascii="Times New Roman" w:cs="Times New Roman" w:eastAsia="Times New Roman" w:hAnsi="Times New Roman"/>
          <w:sz w:val="18"/>
          <w:szCs w:val="18"/>
          <w:color w:val="auto"/>
        </w:rPr>
        <w:t>Accordingly, these shares will be able to be freely sold in the public market upon issuance, subject to applicable vesting requirements and compliance by affiliates with Rule 144.</w:t>
      </w:r>
    </w:p>
    <w:p>
      <w:pPr>
        <w:spacing w:after="0" w:line="163"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Further, certain of the holders of our common stock have rights, subject to some conditions, to require us to file registration statements for the public resale of the Class A common stock issuable upon the conversion of shares of our Class B common stock into shares of our Class A common stock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p>
    <w:p>
      <w:pPr>
        <w:spacing w:after="0" w:line="28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50" w:lineRule="exact"/>
        <w:rPr>
          <w:sz w:val="20"/>
          <w:szCs w:val="20"/>
          <w:color w:val="auto"/>
        </w:rPr>
      </w:pPr>
    </w:p>
    <w:p>
      <w:pPr>
        <w:ind w:firstLine="509"/>
        <w:spacing w:after="0" w:line="276" w:lineRule="auto"/>
        <w:rPr>
          <w:sz w:val="20"/>
          <w:szCs w:val="20"/>
          <w:color w:val="auto"/>
        </w:rPr>
      </w:pPr>
      <w:r>
        <w:rPr>
          <w:rFonts w:ascii="Times New Roman" w:cs="Times New Roman" w:eastAsia="Times New Roman" w:hAnsi="Times New Roman"/>
          <w:sz w:val="17"/>
          <w:szCs w:val="17"/>
          <w:color w:val="auto"/>
        </w:rPr>
        <w:t>We expect to issue additional capital stock in the future that will result in dilution to all other stockholders. We expect to grant equity awards to employees, directors, and consultants under our equity incentive plans and issue shares of our Class A common stock under our employee stock purchase plan.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274"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trading price of our Class A common stock.</w:t>
      </w:r>
    </w:p>
    <w:p>
      <w:pPr>
        <w:spacing w:after="0" w:line="50"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w:t>
      </w:r>
    </w:p>
    <w:p>
      <w:pPr>
        <w:spacing w:after="0" w:line="28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trading price of our Class A common stock.</w:t>
      </w:r>
    </w:p>
    <w:p>
      <w:pPr>
        <w:spacing w:after="0" w:line="50"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Provisions in our restated certificate of incorporation and amended and restated bylaws may have the effect of delaying or preventing a change of control or changes in our management. Our restated certificate of incorporation and amended and restated bylaws include provisions that:</w:t>
      </w:r>
    </w:p>
    <w:p>
      <w:pPr>
        <w:spacing w:after="0" w:line="55" w:lineRule="exact"/>
        <w:rPr>
          <w:sz w:val="20"/>
          <w:szCs w:val="20"/>
          <w:color w:val="auto"/>
        </w:rPr>
      </w:pPr>
    </w:p>
    <w:p>
      <w:pPr>
        <w:ind w:left="1020" w:right="40" w:hanging="504"/>
        <w:spacing w:after="0" w:line="28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w:t>
      </w:r>
    </w:p>
    <w:p>
      <w:pPr>
        <w:spacing w:after="0" w:line="116" w:lineRule="exact"/>
        <w:rPr>
          <w:rFonts w:ascii="Times New Roman" w:cs="Times New Roman" w:eastAsia="Times New Roman" w:hAnsi="Times New Roman"/>
          <w:sz w:val="18"/>
          <w:szCs w:val="18"/>
          <w:color w:val="auto"/>
        </w:rPr>
      </w:pPr>
    </w:p>
    <w:p>
      <w:pPr>
        <w:ind w:left="1020" w:right="140" w:hanging="504"/>
        <w:spacing w:after="0" w:line="28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only be removed for cause;</w:t>
      </w:r>
    </w:p>
    <w:p>
      <w:pPr>
        <w:spacing w:after="0" w:line="116"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54"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63" w:lineRule="exact"/>
        <w:rPr>
          <w:sz w:val="20"/>
          <w:szCs w:val="20"/>
          <w:color w:val="auto"/>
        </w:rPr>
      </w:pPr>
    </w:p>
    <w:p>
      <w:pPr>
        <w:ind w:right="600" w:firstLine="509"/>
        <w:spacing w:after="0" w:line="281"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59" w:name="page60"/>
    <w:bookmarkEnd w:id="59"/>
    <w:p>
      <w:pPr>
        <w:ind w:right="260"/>
        <w:spacing w:after="0" w:line="256" w:lineRule="auto"/>
        <w:rPr>
          <w:sz w:val="20"/>
          <w:szCs w:val="20"/>
          <w:color w:val="auto"/>
        </w:rPr>
      </w:pPr>
      <w:r>
        <w:rPr>
          <w:rFonts w:ascii="Times New Roman" w:cs="Times New Roman" w:eastAsia="Times New Roman" w:hAnsi="Times New Roman"/>
          <w:sz w:val="18"/>
          <w:szCs w:val="18"/>
          <w:color w:val="auto"/>
        </w:rPr>
        <w:t>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28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0"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provide that we will indemnify our directors and officers, in each case to the fullest extent permitted by Delaware law.</w:t>
      </w:r>
    </w:p>
    <w:p>
      <w:pPr>
        <w:spacing w:after="0" w:line="163" w:lineRule="exact"/>
        <w:rPr>
          <w:sz w:val="20"/>
          <w:szCs w:val="20"/>
          <w:color w:val="auto"/>
        </w:rPr>
      </w:pPr>
    </w:p>
    <w:p>
      <w:pPr>
        <w:ind w:right="760" w:firstLine="509"/>
        <w:spacing w:after="0" w:line="281" w:lineRule="auto"/>
        <w:rPr>
          <w:sz w:val="20"/>
          <w:szCs w:val="20"/>
          <w:color w:val="auto"/>
        </w:rPr>
      </w:pPr>
      <w:r>
        <w:rPr>
          <w:rFonts w:ascii="Times New Roman" w:cs="Times New Roman" w:eastAsia="Times New Roman" w:hAnsi="Times New Roman"/>
          <w:sz w:val="18"/>
          <w:szCs w:val="18"/>
          <w:color w:val="auto"/>
        </w:rPr>
        <w:t>In addition, as permitted by Section 145 of the Delaware General Corporation Law, our amended and restated bylaws and indemnification agreements that we have entered into with our directors and officers provide that:</w:t>
      </w:r>
    </w:p>
    <w:p>
      <w:pPr>
        <w:spacing w:after="0" w:line="55" w:lineRule="exact"/>
        <w:rPr>
          <w:sz w:val="20"/>
          <w:szCs w:val="20"/>
          <w:color w:val="auto"/>
        </w:rPr>
      </w:pPr>
    </w:p>
    <w:p>
      <w:pPr>
        <w:ind w:left="1020" w:right="60" w:hanging="504"/>
        <w:spacing w:after="0" w:line="260"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corporation and, with respect to any criminal proceeding, had no reasonable cause to believe such person’s conduct was unlawful;</w:t>
      </w:r>
    </w:p>
    <w:p>
      <w:pPr>
        <w:spacing w:after="0" w:line="7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16" w:lineRule="exact"/>
        <w:rPr>
          <w:rFonts w:ascii="Times New Roman" w:cs="Times New Roman" w:eastAsia="Times New Roman" w:hAnsi="Times New Roman"/>
          <w:sz w:val="18"/>
          <w:szCs w:val="18"/>
          <w:color w:val="auto"/>
        </w:rPr>
      </w:pPr>
    </w:p>
    <w:p>
      <w:pPr>
        <w:jc w:val="both"/>
        <w:ind w:left="1020" w:right="180" w:hanging="504"/>
        <w:spacing w:after="0" w:line="312" w:lineRule="auto"/>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31" w:lineRule="exact"/>
        <w:rPr>
          <w:rFonts w:ascii="Times New Roman" w:cs="Times New Roman" w:eastAsia="Times New Roman" w:hAnsi="Times New Roman"/>
          <w:sz w:val="17"/>
          <w:szCs w:val="17"/>
          <w:color w:val="auto"/>
        </w:rPr>
      </w:pPr>
    </w:p>
    <w:p>
      <w:pPr>
        <w:ind w:left="1020" w:right="240" w:hanging="504"/>
        <w:spacing w:after="0" w:line="28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bylaws to reduce our indemnification obligations to directors, officers, employees, and agents.</w:t>
      </w:r>
    </w:p>
    <w:p>
      <w:pPr>
        <w:spacing w:after="0" w:line="163" w:lineRule="exact"/>
        <w:rPr>
          <w:sz w:val="20"/>
          <w:szCs w:val="20"/>
          <w:color w:val="auto"/>
        </w:rPr>
      </w:pPr>
    </w:p>
    <w:p>
      <w:pPr>
        <w:jc w:val="both"/>
        <w:ind w:right="380" w:firstLine="509"/>
        <w:spacing w:after="0" w:line="312" w:lineRule="auto"/>
        <w:rPr>
          <w:sz w:val="20"/>
          <w:szCs w:val="20"/>
          <w:color w:val="auto"/>
        </w:rPr>
      </w:pPr>
      <w:r>
        <w:rPr>
          <w:rFonts w:ascii="Times New Roman" w:cs="Times New Roman" w:eastAsia="Times New Roman" w:hAnsi="Times New Roman"/>
          <w:sz w:val="17"/>
          <w:szCs w:val="17"/>
          <w:color w:val="auto"/>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0" w:right="379" w:bottom="1440" w:gutter="0" w:footer="0" w:header="0"/>
        </w:sectPr>
      </w:pPr>
    </w:p>
    <w:bookmarkStart w:id="60" w:name="page61"/>
    <w:bookmarkEnd w:id="60"/>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and amended and restated bylaws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p>
    <w:p>
      <w:pPr>
        <w:spacing w:after="0" w:line="6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our behalf, (B) any action asserting a claim for or based on a breach of a fiduciary duty owed by any of our current or former directors, officers, other employees, agents, or stockholders to us or our stockholders, including, without limitation, a claim alleging the aiding and abetting of such a breach of fiduciary duty, (C) any action asserting a claim against us or any of our current or former directors, officers, other employees, agents, or stockholders arising pursuant to any provision of the Delaware General Corporation Law or our restated certificate of incorporation or amended and restated bylaws or as to which the Delaware General Corporation Law confers jurisdiction on the Court of Chancery of the State of Delaware, or (D) any action asserting a claim related to or involving us that is governed by the internal affairs doctrine; (ii) unless we consent in writing to the selection of an alternative forum, the federal district courts of the United States of America will, to the fullest extent permitted by law, be the sole and exclusive forum for the resolution of any complaint asserting a cause of action arising under the Securities Act and the rules and regulations promulgated thereunder; (iii) the exclusive forum provisions are intended to benefit and may be enforced by us, our officers and directors, the financial advisors to any offering giving rise to such complaint, and any other professional or entity whose profession gives authority to a statement made by that person or entity and who has prepared or certified any part of the documents underlying the offering; and (iv) any person or entity purchasing or otherwise acquiring or holding any interest in our shares of capital stock will be deemed to have notice of and consented to these provisions. Nothing in our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w:t>
      </w:r>
    </w:p>
    <w:p>
      <w:pPr>
        <w:spacing w:after="0" w:line="18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If a court were to find the choice of forum provision contained in our restated certificate of incorporation or our amended and restated bylaws to be inapplicable or unenforceable in an action, we may incur additional costs associated with resolving such action in other jurisdictions, which could materially adversely affect our business, financial condition, and results of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attract and retain highly skilled employees could materially adversely affect our business.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order to execute our growth plan, we must attract and retain highly qualified personnel. Competition for these personnel in the San Francisco Bay Area, where our headquarters is located, and in other locations where we engage in recruiting, is intense, especially for engineers experienced in designing and developing software and for experienced sales professionals. We have, from time to time experienced, and we may in the future experience, difficulty in hiring and retaining employees with appropriate qualifications. The cost of living is high in the San Francisco Bay Area, which may make it harder for us to attract and retain highly skilled employees. Many of the companies with which we compete for experienced personnel may have greater resources than we do. If we hire employees from competitors or other companies, their former employers may attempt to assert that these employees or we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w:t>
      </w:r>
    </w:p>
    <w:p>
      <w:pPr>
        <w:spacing w:after="0" w:line="18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As our company grows and evolves, we may need to implement more complex organizational management structures, adapt our corporate culture and work environments, streamline our organization, or adjust the size and structure of our workforce to scale for the future and execute our long-term growth plan. For example, in April 2023, we approved a restructuring plan to reduce our global workforce. These changes could have an adverse impact on our corporate culture and employee morale, which could, in turn, adversely affect our reputation as an employer and harm our ability to retain and recruit personnel. If we fail to attract new personnel or fail to retain and motivate our current personnel, our business and growth prospects could be materially adversely affected.</w:t>
      </w:r>
    </w:p>
    <w:p>
      <w:pPr>
        <w:spacing w:after="0" w:line="28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executive officers and other key employees, and the loss of one or more of these employees could materially adversely affect our business.</w:t>
      </w:r>
    </w:p>
    <w:p>
      <w:pPr>
        <w:spacing w:after="0" w:line="50" w:lineRule="exact"/>
        <w:rPr>
          <w:sz w:val="20"/>
          <w:szCs w:val="20"/>
          <w:color w:val="auto"/>
        </w:rPr>
      </w:pPr>
    </w:p>
    <w:p>
      <w:pPr>
        <w:jc w:val="both"/>
        <w:ind w:right="200" w:firstLine="509"/>
        <w:spacing w:after="0" w:line="265"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other key employees. We rely on our leadership team in the areas of research and development, operations, security, marketing, sales, support, general and administrative functions, and on individual contributors in our research and development and operations. From time to time, there may be changes in</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61" w:name="page62"/>
    <w:bookmarkEnd w:id="61"/>
    <w:p>
      <w:pPr>
        <w:ind w:right="200"/>
        <w:spacing w:after="0" w:line="258" w:lineRule="auto"/>
        <w:rPr>
          <w:sz w:val="20"/>
          <w:szCs w:val="20"/>
          <w:color w:val="auto"/>
        </w:rPr>
      </w:pPr>
      <w:r>
        <w:rPr>
          <w:rFonts w:ascii="Times New Roman" w:cs="Times New Roman" w:eastAsia="Times New Roman" w:hAnsi="Times New Roman"/>
          <w:sz w:val="18"/>
          <w:szCs w:val="18"/>
          <w:color w:val="auto"/>
        </w:rPr>
        <w:t>our executive management team resulting from the hiring or departure of executives. Our inability to successfully manage executive transitions could disrupt our business, affect our culture, harm our ability to retain personnel, and adversely affect our financial condition and results of operations. We do not have employment agreements with our executive officers or other key personnel that require them to continue to work for us for any specified period; therefore, they could terminate their employment with us at any time. The loss of one or more of our executive officers, especially our Chief Executive Officer, or key employees could have an adverse effect on our business.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business, regulatory, or political climate in the San Francisco Bay Area could adversely affect our operations.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Changes in the business, regulatory, or political climate in the San Francisco Bay Area, where our headquarters is located and most of our employees live, could affect our ability to expand or continue our operations there, which could have a material adverse impact on our business, financial condition, and results of operations. For example, if we were required to move our headquarters or downsize our operations in the San Francisco Bay Area due to material adverse changes in the business, regulatory, or political climate, such as increases in local tax rates, we may lose key employees and incur significant costs of relocation.</w:t>
      </w:r>
    </w:p>
    <w:p>
      <w:pPr>
        <w:spacing w:after="0" w:line="28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or changes in the internet infrastructure itself may diminish the demand for our Digital Analytics Platform, and could harm our business.</w:t>
      </w:r>
    </w:p>
    <w:p>
      <w:pPr>
        <w:spacing w:after="0" w:line="5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future success of our business depends upon our customers’ and potential customers’ access to the internet. Federal, state, or foreign government bodies or agencies have in the past adopted, and may in the future adopt, laws or regulations affecting the use of the internet. Changes in these laws or regulations could require us to modify our platform in order to comply with these changes. In addition, government agencies or private organizations may impose additional laws, regulations, standards, or protocols involving taxation, tariffs, privacy, data protection, information security, content, copyrights, distribution, electronic contracts and other communications, consumer protection, and the characteristics and quality of services, any of which could decrease the demand for our Digital Analytics Platform or result in reductions in the demand for internet-based platforms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Digital Analytics Platform could decline.</w:t>
      </w:r>
    </w:p>
    <w:p>
      <w:pPr>
        <w:spacing w:after="0" w:line="29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5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Market opportunity estimates and growth forecasts, including those we have generated ourselves,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companies covered by our market opportunity estimates will purchase our Digital Analytics Platform or generate any particular level of revenue for us. Any expansion in our markets depends on a number of factors, including the cost, performance, and perceived value associated with our Digital Analytics Platform and the products of our competitors. Even if the markets in which we compete achieve the forecasted growth, our business could fail to grow at similar rates, if at all.</w:t>
      </w:r>
    </w:p>
    <w:p>
      <w:pPr>
        <w:spacing w:after="0" w:line="289"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Acquisitions, mergers, strategic investments, partnerships, or alliances could be difficult to identify, pose integration challenges, divert the attention of management, disrupt our business, dilute stockholder value, and materially adversely affect our business, financial condition, and results of operations.</w:t>
      </w:r>
    </w:p>
    <w:p>
      <w:pPr>
        <w:spacing w:after="0" w:line="2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in the past sought, and intend in the future to seek, to acquire or invest in businesses, joint ventures, and platform technologies that we believe could complement or expand our Digital Analytics Platform, enhance our technology, or otherwise offer growth opportunities. Any such acquisitions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the acquired company’s software is not easily adapted to work with our platform, or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the incurrence of debt, or adverse tax consequences, which could materially adversely affect our business, financial condition, and results of operations.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disrupted by catastrophic occurrences and similar events.</w:t>
      </w:r>
    </w:p>
    <w:p>
      <w:pPr>
        <w:spacing w:after="0" w:line="121"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Natural disasters or other catastrophic events may cause damage or disruption to our operations, international commerce, and the global economy, and could harm our business. The majority of our employees are located in the San Francisco Bay Area. In the event of a major earthquake, fire, power loss, telecommunications failure, cyberattack, war or armed conflict (including the war in Ukraine and conflict in the Middle East), terrorist attack, sabotage, other intentional acts of vandalism or misconduct, geopolitical event, disease, or other catastrophic occurrence, we may be unable to continue our operations and may endure system interruptions, reputational harm, delays in our application development, lengthy interruptions in our products, breaches of data security, and loss of critical data, all of which could materially adversely affect our business, financial condition, and results of operations.</w:t>
      </w:r>
    </w:p>
    <w:p>
      <w:pPr>
        <w:spacing w:after="0" w:line="63"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Additionally, we rely on our network and third-party infrastructure and applications, technology systems, and our websites for our development, marketing, operational support, hosted services, and sales activities. If these systems were to fail or be negatively impacted as a result of a natural disaster or other catastrophic event, our ability to deliver products to our customers would be impaired.</w:t>
      </w:r>
    </w:p>
    <w:p>
      <w:pPr>
        <w:spacing w:after="0" w:line="69" w:lineRule="exact"/>
        <w:rPr>
          <w:sz w:val="20"/>
          <w:szCs w:val="20"/>
          <w:color w:val="auto"/>
        </w:rPr>
      </w:pPr>
    </w:p>
    <w:p>
      <w:pPr>
        <w:jc w:val="both"/>
        <w:ind w:right="800" w:firstLine="509"/>
        <w:spacing w:after="0" w:line="265" w:lineRule="auto"/>
        <w:rPr>
          <w:sz w:val="20"/>
          <w:szCs w:val="20"/>
          <w:color w:val="auto"/>
        </w:rPr>
      </w:pPr>
      <w:r>
        <w:rPr>
          <w:rFonts w:ascii="Times New Roman" w:cs="Times New Roman" w:eastAsia="Times New Roman" w:hAnsi="Times New Roman"/>
          <w:sz w:val="18"/>
          <w:szCs w:val="18"/>
          <w:color w:val="auto"/>
        </w:rPr>
        <w:t>As we grow our business, the need for business continuity planning, incident response planning, and disaster recovery plans will grow in significance. If we are unable to develop adequate plans to ensure that our business functions continue to operate during and after a disaster, and successfully execute on those plans in the event of a disaster or emergency, our business and reputation would be harmed.</w:t>
      </w:r>
    </w:p>
    <w:p>
      <w:pPr>
        <w:spacing w:after="0" w:line="28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the trading price and trading volume of our Class A common stock could decline.</w:t>
      </w:r>
    </w:p>
    <w:p>
      <w:pPr>
        <w:spacing w:after="0" w:line="5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trading price and trading volume of our Class A common stock will be heavily influenced by the way analysts interpret our financial information and other disclosures. We do not have control over these analysts. If few securities analysts commence coverage of us, or if industry analysts cease coverage of us, the trading price of our Class A common stock would be negatively affected. If securities or industry analysts do not publish research or reports about our business, downgrade our Class A common stock, or publish negative reports about our business, the trading price of our Class A common stock would likely decline. If one or more of these analysts cease coverage of us or fail to publish reports on us regularly, demand for our Class A common stock could decrease, which could decrease the trading volume of our Class A common stock and might cause the trading price of our Class A common stock to decline.</w:t>
      </w:r>
    </w:p>
    <w:p>
      <w:pPr>
        <w:spacing w:after="0" w:line="29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operating as a public company, and our management needs to devote substantial time to compliance with our public company responsibilities and corporate governance practices.</w:t>
      </w:r>
    </w:p>
    <w:p>
      <w:pPr>
        <w:spacing w:after="0" w:line="50" w:lineRule="exact"/>
        <w:rPr>
          <w:sz w:val="20"/>
          <w:szCs w:val="20"/>
          <w:color w:val="auto"/>
        </w:rPr>
      </w:pPr>
    </w:p>
    <w:p>
      <w:pPr>
        <w:ind w:right="80" w:firstLine="509"/>
        <w:spacing w:after="0" w:line="276" w:lineRule="auto"/>
        <w:rPr>
          <w:sz w:val="20"/>
          <w:szCs w:val="20"/>
          <w:color w:val="auto"/>
        </w:rPr>
      </w:pPr>
      <w:r>
        <w:rPr>
          <w:rFonts w:ascii="Times New Roman" w:cs="Times New Roman" w:eastAsia="Times New Roman" w:hAnsi="Times New Roman"/>
          <w:sz w:val="17"/>
          <w:szCs w:val="17"/>
          <w:color w:val="auto"/>
        </w:rPr>
        <w:t>As a public company, we incur significant legal, accounting, and other expenses that we did not incur as a private company. The Sarbanes-Oxley Act, the Dodd-Frank Wall Street Reform and Consumer Protection Act, Nasdaq rules,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make some activities more time-consuming and costly. We cannot predict or estimate the amount of additional costs we will continue to incur as a public company or the specific timing of such costs.</w:t>
      </w:r>
    </w:p>
    <w:p>
      <w:pPr>
        <w:spacing w:after="0" w:line="274"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obligated to develop and maintain proper and effective internal control over financial reporting, and any failure to maintain the adequacy of these internal controls may adversely affect investor confidence in our company and, as a result, the trading price of our Class A common stock could decline.</w:t>
      </w:r>
    </w:p>
    <w:p>
      <w:pPr>
        <w:spacing w:after="0" w:line="6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on an annual basis. This assessment must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Such expenses and efforts have been directed to employing additional accounting and financial personnel with appropriate public company experience and technical accounting knowledge, and compiling the system and process documentation necessary to establish the compliance and controls function to comply with Section 404 of the Sarbanes-Oxley Act.</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w:t>
      </w:r>
    </w:p>
    <w:p>
      <w:pPr>
        <w:spacing w:after="0" w:line="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4" w:right="399" w:bottom="1440" w:gutter="0" w:footer="0" w:header="0"/>
        </w:sectPr>
      </w:pPr>
    </w:p>
    <w:bookmarkStart w:id="63" w:name="page64"/>
    <w:bookmarkEnd w:id="63"/>
    <w:p>
      <w:pPr>
        <w:ind w:right="240"/>
        <w:spacing w:after="0" w:line="260" w:lineRule="auto"/>
        <w:rPr>
          <w:sz w:val="20"/>
          <w:szCs w:val="20"/>
          <w:color w:val="auto"/>
        </w:rPr>
      </w:pPr>
      <w:r>
        <w:rPr>
          <w:rFonts w:ascii="Times New Roman" w:cs="Times New Roman" w:eastAsia="Times New Roman" w:hAnsi="Times New Roman"/>
          <w:sz w:val="18"/>
          <w:szCs w:val="18"/>
          <w:color w:val="auto"/>
        </w:rPr>
        <w:t>internal control over financial reporting, we could lose investor confidence in the accuracy and completeness of our financial reports, the trading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On March 1, 2024, Eric Vishria, a member of our board of directors, adopted a Rule 10b5-1 trading arrangement, as Trustee to The Vishria Revocable Trust, that is intended to satisfy the affirmative defense of Rule 10b5-1(c) for the sale of up to 210,500 shares of our Class A common stock (less any shares sold pursuant to the Rule 10b5-1 trading arrangement that Mr. Vishria, as Trustee to The Vishria Revocable Trust, entered into on June 9, 2023 (the “Prior 10b5-1 Plan”)) following the expiration of the Prior 10b5-1 Plan and until April 25, 2025.</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4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Filing Date   Filed Herewith</w:t>
            </w:r>
          </w:p>
        </w:tc>
      </w:tr>
      <w:tr>
        <w:trPr>
          <w:trHeight w:val="188"/>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240" w:type="dxa"/>
            <w:vAlign w:val="bottom"/>
            <w:gridSpan w:val="10"/>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Restated Certificate of Incorporation of the Registrant.</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001-40817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9/21/2021</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240" w:type="dxa"/>
            <w:vAlign w:val="bottom"/>
            <w:gridSpan w:val="10"/>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Amended and Restated Bylaws of the Registrant.</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001-40817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9/21/2021</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240" w:type="dxa"/>
            <w:vAlign w:val="bottom"/>
            <w:gridSpan w:val="10"/>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Specimen Stock Certificate evidencing the shares of Class A Common</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333-259168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8/30/2021</w:t>
            </w:r>
          </w:p>
        </w:tc>
      </w:tr>
      <w:tr>
        <w:trPr>
          <w:trHeight w:val="20"/>
        </w:trPr>
        <w:tc>
          <w:tcPr>
            <w:tcW w:w="104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0"/>
          </w:tcPr>
          <w:p>
            <w:pPr>
              <w:spacing w:after="0" w:line="195"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Stock.</w:t>
              </w:r>
            </w:hyperlink>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240" w:type="dxa"/>
            <w:vAlign w:val="bottom"/>
            <w:gridSpan w:val="10"/>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Specimen Stock Certificate evidencing the shares of Class B Common</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S-8</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333-259698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9/21/2021</w:t>
            </w: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0"/>
          </w:tcPr>
          <w:p>
            <w:pPr>
              <w:spacing w:after="0" w:line="195"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Stock.</w:t>
              </w:r>
            </w:hyperlink>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240" w:type="dxa"/>
            <w:vAlign w:val="bottom"/>
            <w:gridSpan w:val="10"/>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Amended and Restated Investors’ Rights Agreement, dated as of May</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333-259168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8/30/2021</w:t>
            </w: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0"/>
          </w:tcPr>
          <w:p>
            <w:pPr>
              <w:spacing w:after="0" w:line="195"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28, 2021, as amended, by and among the Registrant and certain of its</w:t>
              </w:r>
            </w:hyperlink>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0"/>
          </w:tcPr>
          <w:p>
            <w:pPr>
              <w:spacing w:after="0" w:line="195"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stockholders.</w:t>
              </w:r>
            </w:hyperlink>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tcBorders>
              <w:left w:val="single" w:sz="8" w:color="0000FF"/>
            </w:tcBorders>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2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0"/>
          </w:tcPr>
          <w:p>
            <w:pPr>
              <w:spacing w:after="0" w:line="195"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0"/>
          </w:tcPr>
          <w:p>
            <w:pPr>
              <w:spacing w:after="0" w:line="195"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2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800" w:type="dxa"/>
            <w:vAlign w:val="bottom"/>
            <w:tcBorders>
              <w:left w:val="single" w:sz="8" w:color="0000FF"/>
            </w:tcBorders>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0"/>
          </w:tcPr>
          <w:p>
            <w:pPr>
              <w:spacing w:after="0" w:line="195"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800" w:type="dxa"/>
            <w:vAlign w:val="bottom"/>
            <w:tcBorders>
              <w:left w:val="single" w:sz="8" w:color="0000FF"/>
            </w:tcBorders>
            <w:gridSpan w:val="4"/>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0"/>
          </w:tcPr>
          <w:p>
            <w:pPr>
              <w:spacing w:after="0" w:line="195"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2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800" w:type="dxa"/>
            <w:vAlign w:val="bottom"/>
            <w:tcBorders>
              <w:left w:val="single" w:sz="8" w:color="0000FF"/>
            </w:tcBorders>
            <w:gridSpan w:val="4"/>
            <w:shd w:val="clear" w:color="auto" w:fill="0000FF"/>
          </w:tcPr>
          <w:p>
            <w:pPr>
              <w:spacing w:after="0" w:line="20" w:lineRule="exact"/>
              <w:rPr>
                <w:sz w:val="1"/>
                <w:szCs w:val="1"/>
                <w:color w:val="auto"/>
              </w:rPr>
            </w:pPr>
          </w:p>
        </w:tc>
        <w:tc>
          <w:tcPr>
            <w:tcW w:w="540" w:type="dxa"/>
            <w:vAlign w:val="bottom"/>
            <w:tcBorders>
              <w:left w:val="single" w:sz="8" w:color="0000FF"/>
            </w:tcBorders>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0"/>
          </w:tcPr>
          <w:p>
            <w:pPr>
              <w:spacing w:after="0" w:line="195"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 of the Sarbanes-Oxley</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800" w:type="dxa"/>
            <w:vAlign w:val="bottom"/>
            <w:tcBorders>
              <w:left w:val="single" w:sz="8" w:color="0000FF"/>
            </w:tcBorders>
            <w:gridSpan w:val="4"/>
            <w:shd w:val="clear" w:color="auto" w:fill="0000FF"/>
          </w:tcPr>
          <w:p>
            <w:pPr>
              <w:spacing w:after="0" w:line="20" w:lineRule="exact"/>
              <w:rPr>
                <w:sz w:val="1"/>
                <w:szCs w:val="1"/>
                <w:color w:val="auto"/>
              </w:rPr>
            </w:pPr>
          </w:p>
        </w:tc>
        <w:tc>
          <w:tcPr>
            <w:tcW w:w="540" w:type="dxa"/>
            <w:vAlign w:val="bottom"/>
            <w:tcBorders>
              <w:left w:val="single" w:sz="8" w:color="0000FF"/>
            </w:tcBorders>
            <w:gridSpan w:val="4"/>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0"/>
          </w:tcPr>
          <w:p>
            <w:pPr>
              <w:spacing w:after="0" w:line="195" w:lineRule="exact"/>
              <w:rPr>
                <w:sz w:val="20"/>
                <w:szCs w:val="20"/>
                <w:color w:val="auto"/>
              </w:rPr>
            </w:pPr>
            <w:r>
              <w:rPr>
                <w:rFonts w:ascii="Times New Roman" w:cs="Times New Roman" w:eastAsia="Times New Roman" w:hAnsi="Times New Roman"/>
                <w:sz w:val="18"/>
                <w:szCs w:val="18"/>
                <w:color w:val="0000FF"/>
              </w:rPr>
              <w:t>Act of 2002.</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gridSpan w:val="2"/>
            <w:shd w:val="clear" w:color="auto" w:fill="0000FF"/>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2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1040" w:type="dxa"/>
            <w:vAlign w:val="bottom"/>
          </w:tcPr>
          <w:p>
            <w:pPr>
              <w:spacing w:after="0" w:line="20" w:lineRule="exact"/>
              <w:rPr>
                <w:sz w:val="1"/>
                <w:szCs w:val="1"/>
                <w:color w:val="auto"/>
              </w:rPr>
            </w:pPr>
          </w:p>
        </w:tc>
        <w:tc>
          <w:tcPr>
            <w:tcW w:w="4700" w:type="dxa"/>
            <w:vAlign w:val="bottom"/>
            <w:gridSpan w:val="6"/>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0"/>
          </w:tcPr>
          <w:p>
            <w:pPr>
              <w:spacing w:after="0" w:line="195"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 of the Sarbanes-Oxley</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5240" w:type="dxa"/>
            <w:vAlign w:val="bottom"/>
            <w:gridSpan w:val="10"/>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0"/>
          </w:tcPr>
          <w:p>
            <w:pPr>
              <w:spacing w:after="0" w:line="195" w:lineRule="exact"/>
              <w:rPr>
                <w:sz w:val="20"/>
                <w:szCs w:val="20"/>
                <w:color w:val="auto"/>
              </w:rPr>
            </w:pPr>
            <w:r>
              <w:rPr>
                <w:rFonts w:ascii="Times New Roman" w:cs="Times New Roman" w:eastAsia="Times New Roman" w:hAnsi="Times New Roman"/>
                <w:sz w:val="18"/>
                <w:szCs w:val="18"/>
                <w:color w:val="0000FF"/>
              </w:rPr>
              <w:t>Act of 2002.</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gridSpan w:val="2"/>
            <w:shd w:val="clear" w:color="auto" w:fill="0000FF"/>
          </w:tcPr>
          <w:p>
            <w:pPr>
              <w:spacing w:after="0" w:line="20" w:lineRule="exact"/>
              <w:rPr>
                <w:sz w:val="1"/>
                <w:szCs w:val="1"/>
                <w:color w:val="auto"/>
              </w:rPr>
            </w:pPr>
          </w:p>
        </w:tc>
        <w:tc>
          <w:tcPr>
            <w:tcW w:w="434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1040" w:type="dxa"/>
            <w:vAlign w:val="bottom"/>
          </w:tcPr>
          <w:p>
            <w:pPr>
              <w:spacing w:after="0"/>
              <w:rPr>
                <w:sz w:val="18"/>
                <w:szCs w:val="18"/>
                <w:color w:val="auto"/>
              </w:rPr>
            </w:pPr>
          </w:p>
        </w:tc>
        <w:tc>
          <w:tcPr>
            <w:tcW w:w="5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XBRL tags are embedded</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29"/>
        </w:trPr>
        <w:tc>
          <w:tcPr>
            <w:tcW w:w="1040" w:type="dxa"/>
            <w:vAlign w:val="bottom"/>
          </w:tcPr>
          <w:p>
            <w:pPr>
              <w:spacing w:after="0"/>
              <w:rPr>
                <w:sz w:val="19"/>
                <w:szCs w:val="19"/>
                <w:color w:val="auto"/>
              </w:rPr>
            </w:pPr>
          </w:p>
        </w:tc>
        <w:tc>
          <w:tcPr>
            <w:tcW w:w="5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2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X</w:t>
            </w:r>
          </w:p>
        </w:tc>
      </w:tr>
      <w:tr>
        <w:trPr>
          <w:trHeight w:val="22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X</w:t>
            </w:r>
          </w:p>
        </w:tc>
      </w:tr>
      <w:tr>
        <w:trPr>
          <w:trHeight w:val="22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X</w:t>
            </w:r>
          </w:p>
        </w:tc>
      </w:tr>
      <w:tr>
        <w:trPr>
          <w:trHeight w:val="22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X</w:t>
            </w:r>
          </w:p>
        </w:tc>
      </w:tr>
      <w:tr>
        <w:trPr>
          <w:trHeight w:val="22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1040" w:type="dxa"/>
            <w:vAlign w:val="bottom"/>
          </w:tcPr>
          <w:p>
            <w:pPr>
              <w:spacing w:after="0"/>
              <w:rPr>
                <w:sz w:val="20"/>
                <w:szCs w:val="20"/>
                <w:color w:val="auto"/>
              </w:rPr>
            </w:pPr>
          </w:p>
        </w:tc>
        <w:tc>
          <w:tcPr>
            <w:tcW w:w="5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w:t>
            </w:r>
          </w:p>
        </w:tc>
        <w:tc>
          <w:tcPr>
            <w:tcW w:w="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20" w:type="dxa"/>
            <w:vAlign w:val="bottom"/>
          </w:tcPr>
          <w:p>
            <w:pPr>
              <w:spacing w:after="0"/>
              <w:rPr>
                <w:sz w:val="20"/>
                <w:szCs w:val="20"/>
                <w:color w:val="auto"/>
              </w:rPr>
            </w:pPr>
          </w:p>
        </w:tc>
      </w:tr>
    </w:tbl>
    <w:p>
      <w:pPr>
        <w:spacing w:after="0" w:line="238" w:lineRule="exact"/>
        <w:rPr>
          <w:sz w:val="20"/>
          <w:szCs w:val="20"/>
          <w:color w:val="auto"/>
        </w:rPr>
      </w:pPr>
    </w:p>
    <w:p>
      <w:pPr>
        <w:jc w:val="both"/>
        <w:ind w:right="20" w:firstLine="8"/>
        <w:spacing w:after="0" w:line="260" w:lineRule="auto"/>
        <w:tabs>
          <w:tab w:leader="none" w:pos="1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Exhibit 32.2 that accompany this Quarterly Report on Form 10-Q are deemed furnished and not filed with the Securities and Exchange Commission and are not to be incorporated by reference into any filing of Amplitude,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4" w:right="379" w:bottom="1440" w:gutter="0" w:footer="0" w:header="0"/>
        </w:sectPr>
      </w:pPr>
    </w:p>
    <w:bookmarkStart w:id="65" w:name="page66"/>
    <w:bookmarkEnd w:id="65"/>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780"/>
          </w:cols>
          <w:pgMar w:left="320" w:top="980"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May 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May 9, 2024</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Spenser Skates</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Spenser Skates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-127635</wp:posOffset>
            </wp:positionV>
            <wp:extent cx="331343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0">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Christopher Harms</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Christopher Harms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-127635</wp:posOffset>
            </wp:positionV>
            <wp:extent cx="331343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p>
      <w:pPr>
        <w:spacing w:after="0" w:line="200" w:lineRule="exact"/>
        <w:rPr>
          <w:sz w:val="20"/>
          <w:szCs w:val="20"/>
          <w:color w:val="auto"/>
        </w:rPr>
      </w:pPr>
    </w:p>
    <w:p>
      <w:pPr>
        <w:sectPr>
          <w:pgSz w:w="11900" w:h="16838" w:orient="portrait"/>
          <w:cols w:equalWidth="0" w:num="2">
            <w:col w:w="4980" w:space="720"/>
            <w:col w:w="5080"/>
          </w:cols>
          <w:pgMar w:left="320" w:top="980" w:right="799" w:bottom="1440" w:gutter="0" w:footer="0" w:header="0"/>
          <w:type w:val="continuous"/>
        </w:sectPr>
      </w:pPr>
    </w:p>
    <w:p>
      <w:pPr>
        <w:spacing w:after="0" w:line="13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980" w:right="799" w:bottom="1440" w:gutter="0" w:footer="0" w:header="0"/>
          <w:type w:val="continuous"/>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Spenser Skates, certify that:</w:t>
      </w:r>
    </w:p>
    <w:p>
      <w:pPr>
        <w:spacing w:after="0" w:line="225" w:lineRule="exact"/>
        <w:rPr>
          <w:sz w:val="20"/>
          <w:szCs w:val="20"/>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Amplitude,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60" w:hanging="512"/>
        <w:spacing w:after="0" w:line="265"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40" w:hanging="504"/>
        <w:spacing w:after="0" w:line="265"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180" w:hanging="512"/>
        <w:spacing w:after="0" w:line="281"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60" w:hanging="504"/>
        <w:spacing w:after="0" w:line="281"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Spenser Skates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3">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Spenser Skates</w:t>
      </w:r>
    </w:p>
    <w:p>
      <w:pPr>
        <w:spacing w:after="0" w:line="2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2"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Harms, certify that:</w:t>
      </w:r>
    </w:p>
    <w:p>
      <w:pPr>
        <w:spacing w:after="0" w:line="225" w:lineRule="exact"/>
        <w:rPr>
          <w:sz w:val="20"/>
          <w:szCs w:val="20"/>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Amplitude,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60" w:hanging="512"/>
        <w:spacing w:after="0" w:line="265"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40" w:hanging="504"/>
        <w:spacing w:after="0" w:line="265"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180" w:hanging="512"/>
        <w:spacing w:after="0" w:line="281"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60" w:hanging="504"/>
        <w:spacing w:after="0" w:line="281"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ind w:left="20"/>
        <w:spacing w:after="0"/>
        <w:tabs>
          <w:tab w:leader="none" w:pos="5680" w:val="left"/>
          <w:tab w:leader="none" w:pos="782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Harms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5">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Christopher Harms</w:t>
      </w:r>
    </w:p>
    <w:p>
      <w:pPr>
        <w:spacing w:after="0" w:line="2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2" w:lineRule="exact"/>
        <w:rPr>
          <w:sz w:val="20"/>
          <w:szCs w:val="20"/>
          <w:color w:val="auto"/>
        </w:rPr>
      </w:pPr>
    </w:p>
    <w:p>
      <w:pPr>
        <w:jc w:val="center"/>
        <w:ind w:left="340" w:right="258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74"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Amplitude, Inc. (the “Company”) on Form 10-Q for the quarter ended March 31, 2024 as filed with the Securities and Exchange Commission on the date hereof (the “Report”), I certify, pursuant to 18 U.S.C. § 1350, as adopted pursuant to § 906 of the Sarbanes-Oxley Act of 2002, as amended, that:</w:t>
      </w:r>
    </w:p>
    <w:p>
      <w:pPr>
        <w:spacing w:after="0" w:line="177" w:lineRule="exact"/>
        <w:rPr>
          <w:sz w:val="20"/>
          <w:szCs w:val="20"/>
          <w:color w:val="auto"/>
        </w:rPr>
      </w:pPr>
    </w:p>
    <w:p>
      <w:pPr>
        <w:ind w:left="1020" w:hanging="504"/>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4" w:lineRule="exact"/>
        <w:rPr>
          <w:rFonts w:ascii="Times New Roman" w:cs="Times New Roman" w:eastAsia="Times New Roman" w:hAnsi="Times New Roman"/>
          <w:sz w:val="18"/>
          <w:szCs w:val="18"/>
          <w:color w:val="auto"/>
        </w:rPr>
      </w:pPr>
    </w:p>
    <w:p>
      <w:pPr>
        <w:ind w:left="1020" w:right="560" w:hanging="504"/>
        <w:spacing w:after="0" w:line="281"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Spenser Skates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7">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Spenser Skates</w:t>
      </w:r>
    </w:p>
    <w:p>
      <w:pPr>
        <w:spacing w:after="0" w:line="2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2"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Amplitude, Inc. (the “Company”) on Form 10-Q for the quarter ended March 31, 2024 as filed with the Securities and Exchange Commission on the date hereof (the “Report”), I certify, pursuant to 18 U.S.C. § 1350, as adopted pursuant to § 906 of the Sarbanes-Oxley Act of 2002, as amended, that:</w:t>
      </w:r>
    </w:p>
    <w:p>
      <w:pPr>
        <w:spacing w:after="0" w:line="177" w:lineRule="exact"/>
        <w:rPr>
          <w:sz w:val="20"/>
          <w:szCs w:val="20"/>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4" w:lineRule="exact"/>
        <w:rPr>
          <w:rFonts w:ascii="Times New Roman" w:cs="Times New Roman" w:eastAsia="Times New Roman" w:hAnsi="Times New Roman"/>
          <w:sz w:val="18"/>
          <w:szCs w:val="18"/>
          <w:color w:val="auto"/>
        </w:rPr>
      </w:pPr>
    </w:p>
    <w:p>
      <w:pPr>
        <w:ind w:left="1020" w:right="560" w:hanging="504"/>
        <w:spacing w:after="0" w:line="281"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p>
      <w:pPr>
        <w:ind w:left="20"/>
        <w:spacing w:after="0"/>
        <w:tabs>
          <w:tab w:leader="none" w:pos="5680" w:val="left"/>
          <w:tab w:leader="none" w:pos="782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Harms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Christopher Harms</w:t>
      </w:r>
    </w:p>
    <w:p>
      <w:pPr>
        <w:spacing w:after="0" w:line="2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0" w:name="page71"/>
    <w:bookmarkEnd w:id="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decimal"/>
      <w:start w:val="2"/>
    </w:lvl>
  </w:abstractNum>
  <w:abstractNum w:abstractNumId="7">
    <w:nsid w:val="54E49EB4"/>
    <w:multiLevelType w:val="hybridMultilevel"/>
    <w:lvl w:ilvl="0">
      <w:lvlJc w:val="left"/>
      <w:lvlText w:val="(%1)"/>
      <w:numFmt w:val="decimal"/>
      <w:start w:val="3"/>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1)"/>
      <w:numFmt w:val="decimal"/>
      <w:start w:val="4"/>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1)"/>
      <w:numFmt w:val="decimal"/>
      <w:start w:val="6"/>
    </w:lvl>
  </w:abstractNum>
  <w:abstractNum w:abstractNumId="16">
    <w:nsid w:val="737B8DDC"/>
    <w:multiLevelType w:val="hybridMultilevel"/>
    <w:lvl w:ilvl="0">
      <w:lvlJc w:val="left"/>
      <w:lvlText w:val="(%1)"/>
      <w:numFmt w:val="decimal"/>
      <w:start w:val="7"/>
    </w:lvl>
  </w:abstractNum>
  <w:abstractNum w:abstractNumId="17">
    <w:nsid w:val="6CEAF087"/>
    <w:multiLevelType w:val="hybridMultilevel"/>
    <w:lvl w:ilvl="0">
      <w:lvlJc w:val="left"/>
      <w:lvlText w:val="(%1)"/>
      <w:numFmt w:val="decimal"/>
      <w:start w:val="8"/>
    </w:lvl>
  </w:abstractNum>
  <w:abstractNum w:abstractNumId="18">
    <w:nsid w:val="22221A70"/>
    <w:multiLevelType w:val="hybridMultilevel"/>
    <w:lvl w:ilvl="0">
      <w:lvlJc w:val="left"/>
      <w:lvlText w:val="(%1)"/>
      <w:numFmt w:val="decimal"/>
      <w:start w:val="9"/>
    </w:lvl>
  </w:abstractNum>
  <w:abstractNum w:abstractNumId="19">
    <w:nsid w:val="4516DDE9"/>
    <w:multiLevelType w:val="hybridMultilevel"/>
    <w:lvl w:ilvl="0">
      <w:lvlJc w:val="left"/>
      <w:lvlText w:val="(%1)"/>
      <w:numFmt w:val="decimal"/>
      <w:start w:val="10"/>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9" Type="http://schemas.openxmlformats.org/officeDocument/2006/relationships/image" Target="media/image227.png"/><Relationship Id="rId240" Type="http://schemas.openxmlformats.org/officeDocument/2006/relationships/image" Target="media/image228.png"/><Relationship Id="rId241" Type="http://schemas.openxmlformats.org/officeDocument/2006/relationships/image" Target="media/image229.pn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png"/><Relationship Id="rId245" Type="http://schemas.openxmlformats.org/officeDocument/2006/relationships/image" Target="media/image233.png"/><Relationship Id="rId246" Type="http://schemas.openxmlformats.org/officeDocument/2006/relationships/image" Target="media/image234.png"/><Relationship Id="rId247" Type="http://schemas.openxmlformats.org/officeDocument/2006/relationships/image" Target="media/image235.png"/><Relationship Id="rId248" Type="http://schemas.openxmlformats.org/officeDocument/2006/relationships/image" Target="media/image236.png"/><Relationship Id="rId249" Type="http://schemas.openxmlformats.org/officeDocument/2006/relationships/image" Target="media/image237.png"/><Relationship Id="rId250" Type="http://schemas.openxmlformats.org/officeDocument/2006/relationships/image" Target="media/image238.png"/><Relationship Id="rId234" Type="http://schemas.openxmlformats.org/officeDocument/2006/relationships/hyperlink" Target="https://www.sec.gov/Archives/edgar/data/1866692/000119312521278308/d93786dex31.htm" TargetMode="External"/><Relationship Id="rId235" Type="http://schemas.openxmlformats.org/officeDocument/2006/relationships/hyperlink" Target="https://www.sec.gov/Archives/edgar/data/1866692/000119312521278308/d93786dex32.htm" TargetMode="External"/><Relationship Id="rId236" Type="http://schemas.openxmlformats.org/officeDocument/2006/relationships/hyperlink" Target="https://www.sec.gov/Archives/edgar/data/1866692/000119312521260696/d143868dex42.htm" TargetMode="External"/><Relationship Id="rId237" Type="http://schemas.openxmlformats.org/officeDocument/2006/relationships/hyperlink" Target="https://www.sec.gov/Archives/edgar/data/1866692/000119312521278407/d114916dex44.htm" TargetMode="External"/><Relationship Id="rId238" Type="http://schemas.openxmlformats.org/officeDocument/2006/relationships/hyperlink" Target="https://www.sec.gov/Archives/edgar/data/1866692/000119312521260696/d143868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2024-05-09T15:40:52Z</dcterms:created>
  <dcterms:modified xsi:type="dcterms:W3CDTF">2024-05-09T15:40:52Z</dcterms:modified>
</cp:coreProperties>
</file>